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24-TA-2584: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sniedz sekojošu atzinumu par noteikumu projektu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 (24-TA-2584).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prakses atrašanās vietas pamatteritorijas ierobežojumu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atzinīgi vērtē, ka Noteikumu projekta jaunajā redakcijā ir nākts pretī ar teritoriālo vienību (44.3.punktā), tomēr LĢĀA turpina iebilst pret nosacījumu Anotācijā  - jaunās ģimenes ārsta prakses izveidi esošās ģimenes ārsta prakses darbības pamatteritorijā, ka  “topošais ģimenes ārsts (..) apliecina (..) prakses izveidi esošās ģimenes ārsta prakses darbības pamatteritorijā” un “var tikt pieprasīta papildus informācija, piemēram, (..) NVD apliecinājums par jaunās ģimenes ārsta prakses atrašanās vietas atbilstību ģimenes ārsta darbības pamatteritorijai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vietas atrašanās "</w:t>
            </w:r>
            <w:r w:rsidR="00000000" w:rsidRPr="00000000" w:rsidDel="00000000">
              <w:rPr>
                <w:u w:val="single"/>
                <w:rtl w:val="0"/>
              </w:rPr>
              <w:t xml:space="preserve">pēc iespējas tuvāk</w:t>
            </w:r>
            <w:r w:rsidR="00000000" w:rsidRPr="00000000" w:rsidDel="00000000">
              <w:rPr>
                <w:rtl w:val="0"/>
              </w:rPr>
              <w:t xml:space="preserve"> ģimenes ārsta darbības pamatteritorijai" neizslēdz to, ka tā nevar atrasties ārpus pacientu dzīvesvietas noteiktās pamatteritorijas, jo patiešām ģimenes ārsts izvērtē un izvēlēsies pēc iespējas tuvāk, bet, ja telpas ir "nepieejamas" kā to parāda skaudrā pieredze Rīgā, tad ārsti būs spiesti pārcelties tālāk attāluma ziņā. Prakses vietas atrašanās pamatteritorijā nekorelē ar rādītāju "ātri pieejami" pakalpojumi, jo attālums pieejamībai būs daudz mazāks šķērslis, nekā telpu kritisks trūkums (īpaši ierobežotā pamatteritorijā), kas ir viens no būtiskākajiem ierobežojumiem pieejamības un kvalitātes nodrošināšanai Rīgas iedzīvotājiem, kā arī citās Latvijas vietās parādās tādi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aicina Anotācijā precizēt, ka teritoriālā vienība tiek saprasta Ministru kabineta 2021. gada 15. jūnija noteikumu Nr. 379 “Administratīvo teritoriju un teritoriālā iedalījuma vienību klasifikatora noteikumi” izpratnē, ka arī no Anotācijas  svītrot - neattiecināt uz jaunas ģimenes ārsta prakses izveides vietu "(pamatteritorijā)", papildināt ar teritoriālo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precizēt anotāciju: “Lai būtu iespējams pārliecināties, ka esošajām ģimenes ārstu praksēm (..) mainīta prakses atrašanās adrese tajā pašā teritoriālajā vienībā, kurā atrodas ģimenes ārsta darbības pamatteritorija (nepieciešams NVD saskaņojums), (..) NVD apliecinājums par jaunās ģimenes ārsta prakses atrašanās vietas atbilstību ģimenes ārsta darbības pamatteritorija</w:t>
            </w:r>
            <w:r w:rsidR="00000000" w:rsidRPr="00000000" w:rsidDel="00000000">
              <w:rPr>
                <w:u w:val="single"/>
                <w:rtl w:val="0"/>
              </w:rPr>
              <w:t xml:space="preserve">s teritoriālai vienībai</w:t>
            </w:r>
            <w:r w:rsidR="00000000" w:rsidRPr="00000000" w:rsidDel="00000000">
              <w:rPr>
                <w:rtl w:val="0"/>
              </w:rPr>
              <w:t xml:space="preserve">, vai NVD dati par praksē strādājošajā personāla izmaiņām </w:t>
            </w:r>
            <w:r w:rsidR="00000000" w:rsidRPr="00000000" w:rsidDel="00000000">
              <w:rPr>
                <w:u w:val="single"/>
                <w:rtl w:val="0"/>
              </w:rPr>
              <w:t xml:space="preserve">vai plānotām izmaiņām</w:t>
            </w:r>
            <w:r w:rsidR="00000000" w:rsidRPr="00000000" w:rsidDel="00000000">
              <w:rPr>
                <w:rtl w:val="0"/>
              </w:rPr>
              <w:t xml:space="preserve">”. Darbinieku varētu pieņemt pēc tam, kad ir notikusi pārcelšanās un/vai darba vietas nodrošināšana, kā arī </w:t>
            </w:r>
            <w:r w:rsidR="00000000" w:rsidRPr="00000000" w:rsidDel="00000000">
              <w:rPr>
                <w:b w:val="1"/>
                <w:u w:val="single"/>
                <w:rtl w:val="0"/>
              </w:rPr>
              <w:t xml:space="preserve">pašvaldības saskaņojums ir svītrojams</w:t>
            </w:r>
            <w:r w:rsidR="00000000" w:rsidRPr="00000000" w:rsidDel="00000000">
              <w:rPr>
                <w:u w:val="single"/>
                <w:rtl w:val="0"/>
              </w:rPr>
              <w:t xml:space="preserve">,</w:t>
            </w:r>
            <w:r w:rsidR="00000000" w:rsidRPr="00000000" w:rsidDel="00000000">
              <w:rPr>
                <w:rtl w:val="0"/>
              </w:rPr>
              <w:t xml:space="preserve"> ņemot vērā pieredzi par pašvaldību atteikšanos uzņemties atbildību par telpu nodrošināšanu ģimenes ārstu prakšu vajadzībām informatīvā ziņojuma “Par primārās veselības aprūpes stiprināšanu”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atbalstāmām praksēm un atbalstāmo projektu saturu (44.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 punktā paredzēts un Anotācijā norādīts, ka “par praksēm, kas kopš reģistrācijas strādājušas vairāk par trīs gadiem, uzskatāms, ka tās caur prakšu kapitācijas naudu un uzturēšanas naudu ir saņēmušās atbalstu prakses uzturēšanai un iekārtošanai, attiecīgi atbalsts paredzēts tikai jaunu darba vietu, vai adreses maiņas gadījumā. Līdz ar to, pasākuma otrās kārtas mērķis ir primāri atbalstīt jaunās ģimenes ārsta prakses, tādējādi veicinot jauno ģimenes ārstu ienākšanu valsts apmaksātā sektora darba tirgū, un esošās ģimenes ārsta prakses, kurām būtu nepieciešama darbavietas paplašināšana, nodrošinot finansējumu remontdarbiem šo vietu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nepiekrīt, ka praksēm, kuras ir strādājušas vairāk par trīs gadiem atbalsts caur kapitācijas naudu un uzturēšanas naudu būtu bijis apmierinošs un tāpēc atbalsts prakses aprīkojumam un informācijas tehnoloģijām būtu liedzams. Tieši pretēji izmaksas par medicīnas instrumentiem un iekārtām, saimnieciskām ierīcēm un mēbelēm, kā arī  un informācijas tehnoloģijām kapitācijas naudā un uzturēšanas maksājumā ir aprēķinātas un palikušas 2016. gada augusta līmenī! Šīs izmaksas nav palielinātas 8 gadus un arī tuvāko 3 gadu laikā valsts budžeta projektā finansējums tam nav piešķirts. Centrālās statistikas pārvaldes inflācijas kalkulatora aprēķins liecina, ka patēriņa cenu pārmaiņas 2024. gada oktobrī salīdzinot ar 2016. gada augustu ir 46.8%. https://tools.csb.gov.lv/cpi_calculator/lv/2016M08-2024M10/0/100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uzturēšānas maksājums tika palielināts tikai uz telpu un pakalpojumu izmaksu rēķina minimālā apmērā un ar kavēšanos. Līdz ar to lielai daļai ģimenes ārstu prakšu, kurām telpu un pakalpojumu izmaksas ir augstākas, ļoti ilgu laiku nav bijuši līdzekļi jebkādiem ieguldījumiem, jo bija jāsedz augošās ikmēneša izmaksas, lai ārsta prakse varētu vispār darboties. Savukārt, aprīkojums šo gadu laikā ir nolietots un pieprasījums pēc informācijas tehnoloģijām ir būtiski pieaudzis, jo, ja kādreiz varēja iztikt ar mazāku skaitu, tagad katrai darba vietai ir nepieciešamas informācijas tehnoloģijas, kuras ir jāatjauno un jāiegādājas papildus māsai/ārsta palīgam un/vai papildus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Tāpēc LĢĀA iebilst ierobežojumam par tehnoloģiju iegādes, piegādes un montāžas (21.3. un 25.punkta) atbalsta liegšanu praksēm, neattiecinot 25.punkta izmaksas uz praksēm, kas īsteno savu darbību ilgāk par trīs gadiem no reģistrācijas brīža ārstniecības iestāžu reģistrā. </w:t>
            </w:r>
            <w:r w:rsidR="00000000" w:rsidRPr="00000000" w:rsidDel="00000000">
              <w:rPr>
                <w:rtl w:val="0"/>
              </w:rPr>
              <w:t xml:space="preserve">Bez tam </w:t>
            </w:r>
            <w:r w:rsidR="00000000" w:rsidRPr="00000000" w:rsidDel="00000000">
              <w:rPr>
                <w:b w:val="1"/>
                <w:rtl w:val="0"/>
              </w:rPr>
              <w:t xml:space="preserve">arī ģimenes ārsti, kuri pārņem esošās prakses, kuru juridiskā forma ir reģistrēta kā SIA un ārstniecības iestāžu reģistrā var būt arī 10 gadus, tiktu izslēgti no atbalsta tehnoloģiju iegādes un  telpu funkcionalitātes nodrošināšanas pēc Noteikumu projekta redakcijas</w:t>
            </w:r>
            <w:r w:rsidR="00000000" w:rsidRPr="00000000" w:rsidDel="00000000">
              <w:rPr>
                <w:rtl w:val="0"/>
              </w:rPr>
              <w:t xml:space="preserve">. Arī šīs prakses tāpat kā esošās pārējās prakses var būt ar tikpat lielu vajadzību tehnoloģiju nomaiņai un papildināšanai, kā arī </w:t>
            </w:r>
            <w:r w:rsidR="00000000" w:rsidRPr="00000000" w:rsidDel="00000000">
              <w:rPr>
                <w:b w:val="1"/>
                <w:rtl w:val="0"/>
              </w:rPr>
              <w:t xml:space="preserve">visu Latvijas prakšu pacienti ir pelnījuši vienlīdzīgas iespējas saņemt veselības aprūpes pakalpojumus nevis tikai jauno ārstu prakšu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Tāpēc LĢĀA aicina neizdalīt jaunu prakšu izveidi no esošo prakšu attīstības, bet attiecināt vienlīdzīgi visas noteikumu 22. , 23., 25. un 28. punktā minētās izmaksas, labojot 44.punktu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prakses atrašanās vietas pamatteritorijas ierobežojumu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nosacījumu, ka, ja jaunās ģimenes ārsta prakses izveide esošās ģimenes ārsta prakses darbības pamatteritorijā nav iespējama, tad pieļaujama prakses izveide tajā pašā teritoriālajā vienībā, kurā atrodas ģimenes ārsta prakses darbības pamatteritorija līdzīgi kā esošajām praksēm. Papildus precizēts, ka ar teritoriālo vienību šajā noteikumu projektā tiek saprasta teritoriālā iedalījuma vienība, kurā pašvaldība savas kompetences ietvaros realizē pārvaldi, piemēram, Aizkraukles novada pašvaldības administratīvā teritorija Aiviekstes pagasts vai Rīgas pilsētas gadījumā Rīgas administratīvais rajons - Vidzemes priekšpilsēta.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atbalstāmām praksēm un atbalstāmo projektu saturu (44.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papildinot nosacījumu, ka par jaunatvērto ģimenes ārstu praksi šajā noteikumu projektā tiks uzskatīta tāda prakse, kas īsteno savu darbību ne ilgāk ka trīs gadu no reģistrācijas brīža ārstniecības iestāžu reģistrā, vai kurai ir veikta pacientu reģistrācija ne senāk kā trīs gadus no projekta iesnieguma iesniegšanas brīža un kurā pirms pacientu reģistrācijas nav bijis reģistrēts neviens pacients. Panākta vienošanās par to, ka jautājums par kapitācijas naudā un uzturēšanas maksājumā iekļautām izmaksām un to neatbilstību faktiskajām izmaksām nav diskutējams šī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sniedz sekojošu atzinumu par noteikumu projektu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 (24-TA-2584).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stingri iebilst pret nosacījumu, ka pasākuma ietvaros var atbalstīt ģimenes ārstu prakšu attīstību tikai ģimenes ārsta darbības pamatteritorijā. Ņemot vērā ģimenes ārstu prakšu vajadzībām piemērotu telpu būtisku trūkumu, ģimenes ārsta prakses vietas adreses maiņa uz citu vietu nebūtu pamatoti ierobežot ar kādu teritoriju iepretī iespējai nodrošināt lielāku prakses pakalpojumu klāsta pieejamību un kvalitāti. LĢĀA aicina svītrot 49.3. punktā vārdus "ģimenes ārsta darbības pamatteritorijā", kā arī Anotācijā svītrot visās vietās pamatteritoriju, tai skaitā arī neattiecināt uz jaunas ģimenes ārsta prakses izveides vietu (pamatteritorijā -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skaidrot, kāpēc 41.1. punktā Līgumā jānorāda "41.1. konkrētus sniedzamos sabiedriskos pakalpojumus", jo līgumā ar Nacionālo veselības dienestu un normatīvos aktos ir paredzēts, kādi primārās veselības aprūpes pakalpojumi sniedzami.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41.3. punktā norādīto līguma laiku - "līguma darbības laiku, kas nepārsniedz 10 gadus", jo 10 gadi ir pārāk ilgs laiks. Lielākā daļa ģimenes ārstu prakšu atrodas nomātās telpās, kuru iznomātājs ir cita persona, turklāt ir pieredze par iznomātāju iznomātāju negodprātīgu rīcību (Veselības ministrija ir informēta par daļu un šādiem gadījumiem). Līdz ar to pārāk ilgi termiņi nav praksē saprātīgi realizējami un ir nepieciešams paredzēt risinājumus, ko darīt, ja iznomātāju negodprātīgas rīcības dēļ ģimenes ārsta prakses atrašanās konkrētā vietā/adresē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skaidrot un precizēt 13.1.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kas pēc sadarbības iestādes lēmuma par projekta iesnieguma apstiprināšanu kļūst par finansējuma saņēmēju, pasākuma ietvaros ir: 13.1. rezidents (..) un / vai sertificēts ģimenes ārsts, kurš uz projekta iesniegšanas brīdi nesniedz valsts apmaksātos ģimenes ārsta pakalpojumus vai kuram nav reģistrēto pacientu, bet kurš pēc projekta pabeigšanas plāno sniegt valsts apmaksātos ģimenes ārsta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paredzēt, ka Nacionālais veselības dienests tiešām ar šo ārstu un praksi slēgs līgumu, nevis vēlāk atbildēs, ka konkrētajā vietā jaunu praksi nevajag un kas notiks, ja rezidents pārdomās.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skaidrot un precizēt 17. punktu. 17. Projekta iesniedzējs un sadarbības partneri (ja attiecināms), iesaistoties projekta īstenošanā, nodrošina, lai funkcijas, kuras tie pilda projekta īstenošanā, tiktu nodalītas no pamatfunkciju izpildes un saimnieciskās darbības. Kā izprast šo punktu - kā dalīto grāmatvedību?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skaidrot 37.2.punktu, ko tas nozīmē un kā tiek piemērots 300 000 euro slieksnis?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vērtā to, ka jaunajām ģimenes ārstu praksēm, kuras ir izveidotas pēdējo gadu laikā un kurās ģimenes ārsti ir ieguldījuši savus vai visbiežāk aizņemtos finanšu līdzekļus, jo nebija iespēja pieteikties ES fondu atbalstam, LĢĀA aicina noteikt, ka arī šie ieguldījumi arī būtu kompensējami no ES fondu līdzekļiem un tiek atbalstīti šī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detalizēto viedokli par noteikuma projekta 49.3. apakšpunktu, tomēr, skaidrojam, ka šī pasākuma mērķis ir primāri atbalstīt prakšu veidošanu tajā pašā teritoriālajā vienībā, kurā atrodas ģimenes ārsta darbības pamatteritorija un, lai nodrošinātu, ka ģimenes ārsta sniegtie pakalpojumi ir ātri pieejami tiem pacientiem, kuri ir reģistrēti šajā praksē, esam noteikuši, ka praksei ir jāatrodas pēc iespējas tuvāk ģimenes ārsta darbības pamatteritorijai.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41.1. punktā ietverto nosacījumu, skaidrojam, ka 36. punktā un tā apakšpunktos ir ietverti nosacījumi, ko piemēro sabiedrisku pakalpojumu sniedzējiem, t.i. slimnīcām un uzņēmumiem, kas ir atbildīgi par sabiedriskajiem pakalpojumiem, kuriem uzticēts veikt uzdevumus ar vispārēju tautsaimniecisku nozīmi. Saskaņā ar Komisijas lēmuma Nr. 2012/21/ES 4. pantu, uzliekot šādus pienākumus, pilnvarojuma aktā jānorāda sabiedrisko pakalpojumu pienākumu saturs un ilgums, uzņēmumu un vajadzības gadījumā attiecīgā teritorija, jebkāda to ekskluzīvo vai īpašo tiesību būtība, kuras uzņēmumam piešķīrusi piešķīrējiestāde, kompensācijas mehānisma apraksts un aprēķināšanas, kontroles un pārskatīšanas parametri, pasākumi, lai novērstu un atgūtu jebkādu pārmērīgu kompensāciju, kā arī atsauce uz šo lēmumu. Ģimenes ārstu prakšu gadījumā tas ir deleģēšanas līgums starp ģimenes ārsta praksi un Nacionālo veselības dienestu. Šāds līgums esošajām praksēm jau ir noslēgts un šis noteikumu projekts neparedz veikt izmaiņas esošajos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36.3. punktā norādīto līguma laiku - "līguma darbības laiku, kas nepārsniedz 10 gadus", skaidrojam, ka šis periods ir noteikts iepriekš minētajā Komisijas lēmumā Nr. 2012/21/ES un, diemžēl, nav maināms.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noteikumu projekts paredz, ka prakses pārņemšanas gadījumā topošajam ģimenes ārstam (rezidents) vai ģimenes ārstam, kuram nav reģistrēto pacientu, pirms projekta iesnieguma iesniegšanas būs jāslēdz vienošanās ar reģistrēto ģimenes ārsta praksi un  Nacionālo veselības dienestu, un telpu īpašnieku (ja nepieciešams), un visi jautājumi, kas ir saistīti ar katras puses pienākumiem un to izpildes termiņiem, tiks atrunāti šajā vienošanās, tādējādi pasargājot projekta iesniedzēju un citus iesaistītos no riska, ka darījums tiek atcelts. Šāda veida vienošanās tiks noslēgta arī gadījumos, kad topošais ģimenes ārsts vai ģimenes ārsts, kuram nav reģistrēto pacientu, plānos atvērt jaunu ģimenes ārsta praksi brīvajā prakses vietā. Ja rezidents vienpusēji pārtrauks šo vienošanos, tad rezidentam, kurš pats iesniedza projekta iesniegumu, būs jāatmaksā projekta ietvaros saņemtais finansējums kopā ar procentiem no līdzekļiem, kas ir brīvi no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punktu, kur tiek uzlikts projekta iesniedzējam un sadarbības partnerim (ja attiecināms), iesaistoties projekta īstenošanā, nodrošināt funkciju nodalīšanu no pamatfunkciju veikšanas, skaidrojam, ka īstenojot projektu, projekta iesniedzējs un sadarbības partneris (ja attiecināms) papildus saviem pamata pienākumiem var veikt projekta vadītāja pienākumus un šinī gadījumā projekta pienākumiem ir jābūt skaidri nodalītiem no veicamajiem pamata pienākumiem. Attiecīgi ir jānodrošina atsevišķa izdevumu grāmatvedības uzskaite, kā arī darbību un ar to īstenošanu saistīto finanšu plūsmu nodalīšana.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34.2. apakšpunktu, skaidrojam, ka de minimis regula paredz, ka de minimis atbalsta kopsumma, ko viena dalībvalsts piešķīrusi vienam vienotam uzņēmumam, iepriekšējos trīs gados, skaitot no atbalsta piešķiršanas dienas, nedrīkst pārsniegt 300 000 EUR (no datuma, kurā plānots piešķirt atbalstu skatās trīs kalendāro gadu laikā piešķirto atbalstu (piemēram, ja, atbalstu plānots piešķirt 18.01.2025., tad ņem vērā iepriekš piešķirto de minimis atbalstu periodā no 18.01.2022. (ieskaitot) līdz 18.01.2025.).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jēdzienu “uzņēmums” ir jāsaprot jebkurš saimnieciskās darbības veicējs, neatkarīgi no juridiskās formas, tai skaitā fiziska persona, kura plāno veikt saimniecisko darbību, un de minimis atbalstu jākumulē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Piesakoties uz atbalstu, atbalsta saņēmējam būs jāaizpilda de minimis uzskaites veidlapa VID elektroniskajā datu bāzē EDS un projekta iesniegumam būs jāpievieno EDS sistēmā sagatavotās de minimis uzskaites veidlapas izdruka vai jānorāda sistēmā izveidotās un apstiprinātās de minimis veidlapas identifikācijas numurs. EDS sistēmā ir izveidota sadaļa – poga "de minimis", caur kuru ieejot būs iespēja aizpildīt de minimis uzskaites veidlapu (pamatdatus par uzņēmumu, kā arī to, vai uzņēmums ir autonoms, vai uzņēmums ir saistīts uzņēmums atbilstoši “viens vienots uzņēmums” definīcijai) un sekot līdz uzņēmumam, t.sk. saistīto uzņēmumu, piešķirtajam de minimis atbalstam un pieejamiem atlikumiem.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pirms noteikumu projekta apstiprināšanas radušo izmaksu attiecināšanu šajā pasākumā, skaidrojam, ka atklātas projektu atlases gadījumā izmaksu attiecināšana pirms līguma noslēgšanas par projekta īstenošanu nav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21.4.</w:t>
            </w:r>
            <w:r w:rsidR="00000000" w:rsidRPr="00000000" w:rsidDel="00000000">
              <w:rPr>
                <w:rtl w:val="0"/>
              </w:rPr>
              <w:t xml:space="preserve"> apakšpunktā minētās atbalstāmās darbības ietvaros ir attiecināmas komunikācijas un vizuālās identitātes prasību nodrošināšanas izmaksas, lai izpildītu prasības atbilstoši regulas 2021/1060 47. un 50. pantam un normatīvajiem aktiem par kārtību, kādā Eiropas Savienības fondu vadībā iesaistītās institūcijas nodrošina šo fondu ieviešanu 2021.–2027. gada plānošanas periodā. Atbalsts minēto izmaksu segšanai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komunikācijas pasākumu piekļūstamības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ES fondu līdzfinansētajiem pasākumiem ir attiecināms arī regulas 2021/1060  9.pants, kurš nosaka, ka dalībvalstīm jāveic atbilstošus pasākumus, lai programmu sagatavošanas, īstenošanas uzraudzības, ziņošanas un novērtēšanas laikā novērstu jebkādu diskrimināciju dzimuma, rases vai etniskās izcelsmes, ticības vai pārliecības, invaliditātes, vecuma vai seksuālās orientācijas dēļ. Visā programmu sagatavošanas un īstenošanas laikā jo īpaši ņem vērā piekļūstamības nodrošināšanu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nav iespējams papildināt MKN 28.punktu, lūdzam izveidot jaunu punktu, kurš paredz regulas 2021/1060  9.pantā noteiktā horizontālā principa "Vienlīdzība, iekļaušana, nediskriminācija un pamattiesību ievērošana"  darbību īstenošanas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izmaksas horizontālā principa “Vienlīdzība, iekļaušana, nediskriminācija un pamattiesību ievērošana” darbību īstenošanai, t.sk. indukcijas cilpu nomas, zīmju valodas tulku un vieglās valodas tulkošanas pakalpojumu izmaksas, subtitrēšanas un reāllaika transkripcijas pakalpojumu izmaksas, ja tas ir nepieciešams  informācijas piekļūstamības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21.4.</w:t>
            </w:r>
            <w:r w:rsidR="00000000" w:rsidRPr="00000000" w:rsidDel="00000000">
              <w:rPr>
                <w:rtl w:val="0"/>
              </w:rPr>
              <w:t xml:space="preserve"> apakšpunktā minētā atbalstāmā darbība ietver komunikācijas un vizuālās identitātes prasību un piekļūstamības nodrošināšanas izmaksas, lai izpildītu prasības atbilstoši regulas 2021/1060 47. un 50. pantam un normatīvajiem aktiem par kārtību, kādā Eiropas Savienības fondu vadībā iesaistītās institūcijas nodrošina šo fondu ieviešanu 2021.–2027. gada plānošanas periodā. Atbalsts minēto izmaksu segšanai nav kvalificējams kā komercdarbības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21.4.</w:t>
            </w:r>
            <w:r w:rsidR="00000000" w:rsidRPr="00000000" w:rsidDel="00000000">
              <w:rPr>
                <w:rtl w:val="0"/>
              </w:rPr>
              <w:t xml:space="preserve"> apakšpunktā minētā atbalstāmā darbība ietver komunikācijas un vizuālās identitātes prasību nodrošināšanas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konvencijā par personu ar invaliditāti tiesībām ir noteikts, ka "komunikācija" ietver valodu, tekstu, Braila raksta, taustes komunikācijas, liela izmēra rakstu zīmju un piekļūstamu multivides līdzekļu izmantošanu, kā arī pastiprinošus un alternatīvus komunikācijas veidus, līdzekļus un formātus, kam izmanto rakstiskus palīglīdzekļus, audio palīglīdzekļus, vieglo valodu, priekšā lasītāju, tostarp piekļūstamās informācijas un komunikācijas tehnoloģijas.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punktu un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21.4. apakšpunktā minētā atbalstāmā darbība ietver komunikācijas un vizuālās identitātes prasību un </w:t>
            </w:r>
            <w:r w:rsidR="00000000" w:rsidRPr="00000000" w:rsidDel="00000000">
              <w:rPr>
                <w:b w:val="1"/>
                <w:rtl w:val="0"/>
              </w:rPr>
              <w:t xml:space="preserve">piekļūstamības</w:t>
            </w:r>
            <w:r w:rsidR="00000000" w:rsidRPr="00000000" w:rsidDel="00000000">
              <w:rPr>
                <w:rtl w:val="0"/>
              </w:rPr>
              <w:t xml:space="preserve"> nodrošināšanas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kā arī precizēts noteikumu projekta 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šīs darbības ietvaros ir attiecināmas tikai tādas komunikācijas un vizuālās identitātes prasību nodrošināšanas izmaksas, kuras ir nepieciešamas obligāto prasību ievērošanai atbilstoši regulas 2021/1060 47. un 50. pantam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21.4.</w:t>
            </w:r>
            <w:r w:rsidR="00000000" w:rsidRPr="00000000" w:rsidDel="00000000">
              <w:rPr>
                <w:rtl w:val="0"/>
              </w:rPr>
              <w:t xml:space="preserve"> apakšpunktā minētā atbalstāmā darbība ietver komunikācijas un vizuālās identitātes prasību un piekļūstamības nodrošināšanas izmaksas, lai izpildītu prasības atbilstoši regulas 2021/1060 47. un 50. pantam un normatīvajiem aktiem par kārtību, kādā Eiropas Savienības fondu vadībā iesaistītās institūcijas nodrošina šo fondu ieviešanu 2021.–2027. gada plānošanas periodā. Atbalsts minēto izmaksu segšanai nav kvalificējams kā komercdarbības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Ar komercdarbības atbalsta saņemšanu saistītie nosacījumi, ja komercdarbības atbalsts tiek piešķirts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nosaka de minimis atbalsta piešķiršanas brīdi, tādējādi ievērojot Komisijas 2023. gada 13. decembra Regulas (ES) 2023/2831 par Līguma par Eiropas Savienības darbību 107. un 108. panta piemērošanu de minimis atbalstam (turpmāk – Komisijas regula Nr. 2023/2831) 3. panta 3.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34.8.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Ar komercdarbības atbalsta saņemšanu saistītie nosacījumi, ja komercdarbības atbalsts tiek piešķirts saskaņā ar Komisijas regulu Nr. 2023/2831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w:t>
            </w:r>
            <w:r w:rsidR="00000000" w:rsidRPr="00000000" w:rsidDel="00000000">
              <w:rPr>
                <w:i w:val="1"/>
                <w:rtl w:val="0"/>
              </w:rPr>
              <w:t xml:space="preserve">De minimis</w:t>
            </w:r>
            <w:r w:rsidR="00000000" w:rsidRPr="00000000" w:rsidDel="00000000">
              <w:rPr>
                <w:rtl w:val="0"/>
              </w:rPr>
              <w:t xml:space="preserve"> atbalstu piešķir,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Komisijas regulas Nr. 2023/2831 1. panta 2. punkta prasību ievērošanu, lūdzam papildināt noteikumu projekta 37. punktu ar apakšpunktu, kas iekļauj atbilstošu nosacījumu,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saņēmējs vienlaikus darbojas vienā vai vairākās Komisijas regulas Nr.2023/2831 1.panta 1.punkta a), b), c) un d) apakšpunktā minētajās nozarēs, atbalstu drīkst piešķirt tikai tad, ja atbalsta saņēmējs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34.1.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w:t>
            </w:r>
            <w:r w:rsidR="00000000" w:rsidRPr="00000000" w:rsidDel="00000000">
              <w:rPr>
                <w:i w:val="1"/>
                <w:rtl w:val="0"/>
              </w:rPr>
              <w:t xml:space="preserve">De minimis</w:t>
            </w:r>
            <w:r w:rsidR="00000000" w:rsidRPr="00000000" w:rsidDel="00000000">
              <w:rPr>
                <w:rtl w:val="0"/>
              </w:rPr>
              <w:t xml:space="preserve"> atbalstu piešķir,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ievērojot Komisijas regulas Nr.  2023/2831 5. panta 1. un 2. punkta nosacījumus, </w:t>
            </w:r>
            <w:r w:rsidR="00000000" w:rsidRPr="00000000" w:rsidDel="00000000">
              <w:rPr>
                <w:i w:val="1"/>
                <w:rtl w:val="0"/>
              </w:rPr>
              <w:t xml:space="preserve">de minimis </w:t>
            </w:r>
            <w:r w:rsidR="00000000" w:rsidRPr="00000000" w:rsidDel="00000000">
              <w:rPr>
                <w:rtl w:val="0"/>
              </w:rPr>
              <w:t xml:space="preserve">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Nr.  2023/2831 3. panta 2. punktā noteiktajam atbilstošajam robežlielumam, kā arī drīkst kumulēt ar citu valsts atbalstu, tai skaitā attiecībā uz vienām un tām pašām attiecināmajām izmaksām, ja šīs kumulācijas rezultātā netiek pārsniegta attiecīgā maksimālā atbalsta intensitāte vai atbalsta summa, kāda noteikta valsts atbalsta programmā vai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kumulācijas prasību ievērošanu, lūdzam noteikumu projekta 37.3. apakšpunktu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ievērojot Komisijas regulas Nr.  2023/2831 5. panta 1. un 2. punkta nosacījumus,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finansējuma saņēmējs un sadarbības partneris (ja attiecināms)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34.3.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ievērojot Komisijas regulas Nr.  2023/2831 5. panta 1. un 2. punkta nosacījumus,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Nr.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Ja par vienām un tām pašām projekta attiecināmajām izmaksām tiek piešķirts atbalsts vairāku komercdarbības atbalsta programmu ietvaros, finansējuma saņēmējs un sadarbības partneris (ja attiecināms)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13.2.1.</w:t>
            </w:r>
            <w:r w:rsidR="00000000" w:rsidRPr="00000000" w:rsidDel="00000000">
              <w:rPr>
                <w:rtl w:val="0"/>
              </w:rPr>
              <w:t xml:space="preserve"> apakšpunktā minētajam finansējuma saņēmējam, kas sniedz valsts apmaksātos ģimenes ārsta pakalpojumus un kuram uzticēts sniegt pakalpojumus ar vispārēju tautsaimniecisku nozīmi, un šo noteikumu </w:t>
            </w:r>
            <w:r w:rsidR="00000000" w:rsidRPr="00000000" w:rsidDel="00000000">
              <w:rPr>
                <w:rtl w:val="0"/>
              </w:rPr>
              <w:t xml:space="preserve">14.2.2.</w:t>
            </w:r>
            <w:r w:rsidR="00000000" w:rsidRPr="00000000" w:rsidDel="00000000">
              <w:rPr>
                <w:rtl w:val="0"/>
              </w:rPr>
              <w:t xml:space="preserve"> ​​​​​​​ apakšpunktā minētajam sadarbības partnerim, kurš nodrošina telpas vai telpas un aprīkojumu valsts apmaksāto ģimenes ārsta pakalpojumu sniegšanai šo noteikumu </w:t>
            </w:r>
            <w:r w:rsidR="00000000" w:rsidRPr="00000000" w:rsidDel="00000000">
              <w:rPr>
                <w:rtl w:val="0"/>
              </w:rPr>
              <w:t xml:space="preserve">13.2.1.</w:t>
            </w:r>
            <w:r w:rsidR="00000000" w:rsidRPr="00000000" w:rsidDel="00000000">
              <w:rPr>
                <w:rtl w:val="0"/>
              </w:rPr>
              <w:t xml:space="preserve"> ​​​​​​​ apakšpunktā minētajam finansējuma saņēmējam, ja tāds ir paredzēts,  komercdarbības atbalstu piešķir atbilstoši šīs nodaļas nosacījumiem un šo noteikumu </w:t>
            </w:r>
            <w:r w:rsidR="00000000" w:rsidRPr="00000000" w:rsidDel="00000000">
              <w:rPr>
                <w:rtl w:val="0"/>
              </w:rPr>
              <w:t xml:space="preserve">54.</w:t>
            </w:r>
            <w:r w:rsidR="00000000" w:rsidRPr="00000000" w:rsidDel="00000000">
              <w:rPr>
                <w:rtl w:val="0"/>
              </w:rPr>
              <w:t xml:space="preserve"> punktā minēto attīstāmās infrastruktūras izmantošanas proporcijas aprēķinu valsts apmaksāto veselības aprūpes pakalpojumu sniegšanai un citu darbību veikšanai veic un piemēro šo noteikumu </w:t>
            </w:r>
            <w:r w:rsidR="00000000" w:rsidRPr="00000000" w:rsidDel="00000000">
              <w:rPr>
                <w:rtl w:val="0"/>
              </w:rPr>
              <w:t xml:space="preserve">13.2.1.</w:t>
            </w:r>
            <w:r w:rsidR="00000000" w:rsidRPr="00000000" w:rsidDel="00000000">
              <w:rPr>
                <w:rtl w:val="0"/>
              </w:rPr>
              <w:t xml:space="preserve"> ​​​​​​​ apakšpunktā minētajam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kā noteikumu 39. punktā lūdzam precizēt noteikumu 38.punktu, kas šajā situācijā ir gala labuma guvēji. Ja ir paredzēts, ka finansējuma saņēmējs piešķir tālāk atbalstu sadarbības partnerim vispārējas tautsaimnieciskas nozīmes pakalpojumu sniegšanai, nepieciešams to norādīt noteikumos un/vai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šajā punktā norādīto kārtību attīstāmās infrastruktūras izmantošanas proporcijas aprēķinam, jo no esošās redakcijas nav saprotams, kam (finansējuma saņēmējam vai sadarbības partnerim) infrastruktūras izmantošanas aprēķins tiek piemērots. Ja ir iespējami vairāki gadījumi, lūdzam tos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VII.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13.2.1.</w:t>
            </w:r>
            <w:r w:rsidR="00000000" w:rsidRPr="00000000" w:rsidDel="00000000">
              <w:rPr>
                <w:rtl w:val="0"/>
              </w:rPr>
              <w:t xml:space="preserve"> apakšpunktā minētajam finansējuma saņēmējam un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 minētajam sadarbības partnerim (ja attiecināms), kuri plāno attīstīt ģimenes ārsta praksi, kurai ir uzticēts sniegt pakalpojumus ar vispārēju tautsaimniecisku nozīmi, komercdarbības atbalstu piešķir atbilstoši šīs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w:t>
            </w:r>
            <w:r w:rsidR="00000000" w:rsidRPr="00000000" w:rsidDel="00000000">
              <w:rPr>
                <w:rtl w:val="0"/>
              </w:rPr>
              <w:t xml:space="preserve">13.2.2.</w:t>
            </w:r>
            <w:r w:rsidR="00000000" w:rsidRPr="00000000" w:rsidDel="00000000">
              <w:rPr>
                <w:rtl w:val="0"/>
              </w:rPr>
              <w:t xml:space="preserve"> apakšpunktā minētajam finansējuma saņēmējam, kurš pats nesniedz valsts apmaksātos ģimenes ārsta pakalpojumus, bet nodrošina telpas vai telpas un aprīkojumu šo noteikumu </w:t>
            </w:r>
            <w:r w:rsidR="00000000" w:rsidRPr="00000000" w:rsidDel="00000000">
              <w:rPr>
                <w:rtl w:val="0"/>
              </w:rPr>
              <w:t xml:space="preserve">14.2.1.</w:t>
            </w:r>
            <w:r w:rsidR="00000000" w:rsidRPr="00000000" w:rsidDel="00000000">
              <w:rPr>
                <w:rtl w:val="0"/>
              </w:rPr>
              <w:t xml:space="preserve"> ​​​​​​​ apakšpunktā minētajam sadarbības partnerim valsts apmaksāto ģimenes ārsta pakalpojumu sniegšanai un kuram uzticēts sniegt pakalpojumus ar vispārēju tautsaimniecisku nozīmi, komercdarbības atbalstu piešķir atbilstoši šīs nodaļas nosacījumiem un šo noteikumu </w:t>
            </w:r>
            <w:r w:rsidR="00000000" w:rsidRPr="00000000" w:rsidDel="00000000">
              <w:rPr>
                <w:rtl w:val="0"/>
              </w:rPr>
              <w:t xml:space="preserve">54.</w:t>
            </w:r>
            <w:r w:rsidR="00000000" w:rsidRPr="00000000" w:rsidDel="00000000">
              <w:rPr>
                <w:rtl w:val="0"/>
              </w:rPr>
              <w:t xml:space="preserve"> ​​​​​​​ punktā minēto attīstāmās infrastruktūras izmantošanas proporcijas aprēķinu valsts apmaksāto veselības aprūpes pakalpojumu sniegšanai un citu darbību veikšanai veic un piemēro šo noteikumu </w:t>
            </w:r>
            <w:r w:rsidR="00000000" w:rsidRPr="00000000" w:rsidDel="00000000">
              <w:rPr>
                <w:rtl w:val="0"/>
              </w:rPr>
              <w:t xml:space="preserve">14.2.1.</w:t>
            </w:r>
            <w:r w:rsidR="00000000" w:rsidRPr="00000000" w:rsidDel="00000000">
              <w:rPr>
                <w:rtl w:val="0"/>
              </w:rPr>
              <w:t xml:space="preserve"> ​​​​​​​ apakšpunktā minētajam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39.punktu un/vai anotāciju un skaidri norādīt, kas šajā situācijā (kur finansējuma saņēmējs ir ārstniecības iestāde, kas pati nesniedz valsts apmaksātos ģimenes ārsta pakalpojumus, bet nodrošina telpas vai telpas un aprīkojumu šo noteikumu 14.2.1. apakšpunktā minētajam sadarbības partnerim valsts apmaksāto ģimenes ārsta pakalpojumu sniegšanai un kuram uzticēts sniegt pakalpojumus ar vispārēju tautsaimniecisku nozīmi </w:t>
            </w:r>
            <w:r w:rsidR="00000000" w:rsidRPr="00000000" w:rsidDel="00000000">
              <w:rPr>
                <w:b w:val="1"/>
                <w:rtl w:val="0"/>
              </w:rPr>
              <w:t xml:space="preserve">ir gala labuma guvējs</w:t>
            </w:r>
            <w:r w:rsidR="00000000" w:rsidRPr="00000000" w:rsidDel="00000000">
              <w:rPr>
                <w:rtl w:val="0"/>
              </w:rPr>
              <w:t xml:space="preserve"> - finansējuma saņēmējs vai sadarbības partneris. Ja ir paredzēts, ka finansējuma saņēmējs piešķir tālāk atbalstu sadarbības partnerim vispārējas tautsaimnieciskas nozīmes pakalpojumu sniegšanai, nepieciešams to norādīt noteikumos un/vai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VII.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atbalsts tiek piešķirts saskaņā ar šo noteikumu </w:t>
            </w:r>
            <w:r w:rsidR="00000000" w:rsidRPr="00000000" w:rsidDel="00000000">
              <w:rPr>
                <w:rtl w:val="0"/>
              </w:rPr>
              <w:t xml:space="preserve">38.</w:t>
            </w:r>
            <w:r w:rsidR="00000000" w:rsidRPr="00000000" w:rsidDel="00000000">
              <w:rPr>
                <w:rtl w:val="0"/>
              </w:rPr>
              <w:t xml:space="preserve"> , </w:t>
            </w:r>
            <w:r w:rsidR="00000000" w:rsidRPr="00000000" w:rsidDel="00000000">
              <w:rPr>
                <w:rtl w:val="0"/>
              </w:rPr>
              <w:t xml:space="preserve">39.</w:t>
            </w:r>
            <w:r w:rsidR="00000000" w:rsidRPr="00000000" w:rsidDel="00000000">
              <w:rPr>
                <w:rtl w:val="0"/>
              </w:rPr>
              <w:t xml:space="preserve"> ​​​​​​​ un </w:t>
            </w:r>
            <w:r w:rsidR="00000000" w:rsidRPr="00000000" w:rsidDel="00000000">
              <w:rPr>
                <w:rtl w:val="0"/>
              </w:rPr>
              <w:t xml:space="preserve">40.</w:t>
            </w:r>
            <w:r w:rsidR="00000000" w:rsidRPr="00000000" w:rsidDel="00000000">
              <w:rPr>
                <w:rtl w:val="0"/>
              </w:rPr>
              <w:t xml:space="preserve"> ​​​​​​​ punktā minētajiem komercdarbības atbalsta nosacījumiem, kas norādīti Komisijas lēmumā Nr. 2012/21/ES, finansējuma saņēmējam un sadarbības partnerim jāveic attīstāmās infrastruktūras izmantošanas proporcijas aprēķins valsts apmaksāto veselības aprūpes pakalpojumu sniegšanai un citu darbību veikšanai un jāpiemēro tā projekta kopējam finansējumam, nosakot publiskā un privātā finansējuma apmēru. Projekta kopējo publisko izmaksu maksimālo apmēru nosaka,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x</w:t>
            </w:r>
            <w:r w:rsidR="00000000" w:rsidRPr="00000000" w:rsidDel="00000000">
              <w:rPr>
                <w:rtl w:val="0"/>
              </w:rPr>
              <w:t xml:space="preserve"> – gadu skaits, kuriem tika aprēķināts projekta publisko izmaksu maksimālais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 </w:t>
            </w:r>
            <w:r w:rsidR="00000000" w:rsidRPr="00000000" w:rsidDel="00000000">
              <w:rPr>
                <w:b w:val="1"/>
                <w:i w:val="1"/>
                <w:vertAlign w:val="subscript"/>
                <w:rtl w:val="0"/>
              </w:rPr>
              <w:t xml:space="preserve">publ</w:t>
            </w:r>
            <w:r w:rsidR="00000000" w:rsidRPr="00000000" w:rsidDel="00000000">
              <w:rPr>
                <w:rtl w:val="0"/>
              </w:rPr>
              <w:t xml:space="preserve"> – attiecīgā gada publisko izmaksu maksimālais apmērs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 punktā norādīta atsauce uz </w:t>
            </w:r>
            <w:r w:rsidR="00000000" w:rsidRPr="00000000" w:rsidDel="00000000">
              <w:rPr>
                <w:i w:val="1"/>
                <w:rtl w:val="0"/>
              </w:rPr>
              <w:t xml:space="preserve">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(turpmāk - Lēmums). Norādām,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 pants noteic, ka šo lēmumu piemēro valsts atbalstam attiecībā uz kompensāciju par sabiedrisko pakalpojumu sniegšanu, kas piešķirta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noteic, ka šis lēmums ir adresēts dalībvalstīm. Šajā gadījumā nepieciešams izvērtēt, vai Lēmums satur tādas normas, kas attiecināmas arī uz privātpersonām. Ja Lēmums šādas normas satur, tad lūdzam tās pārņemt noteikumu projektā un attiecīgi precizēt noteikumu projekta 54. punktu, svītrojot atsauci uz Lēmumu. Ja Lēmums nesatur normas, kas jāattiecina uz privātpersonām, un Lēmumu var tieši izpildīt valsts iestādes, tad arī šādā gadījumā noteikumu projekta 54. punktā atsauce uz Lēmumu svītrojama, jo atbilstoši </w:t>
            </w:r>
            <w:r w:rsidR="00000000" w:rsidRPr="00000000" w:rsidDel="00000000">
              <w:rPr>
                <w:i w:val="1"/>
                <w:rtl w:val="0"/>
              </w:rPr>
              <w:t xml:space="preserve">Ministru kabineta 2009. gada 3. februāra noteikumu Nr. 108 "Normatīvo aktu projektu sagatavošanas noteikumi"</w:t>
            </w:r>
            <w:r w:rsidR="00000000" w:rsidRPr="00000000" w:rsidDel="00000000">
              <w:rPr>
                <w:rtl w:val="0"/>
              </w:rPr>
              <w:t xml:space="preserve"> 170.-172. punktam normatīvā akta tekstā atsauces raksta tikai uz Eiropas Savienības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arī Eiropas Savienības tiesību ieviešanas rokasgrāmatas 2.8. apakšnodaļu „Lēmumu ieviešana”, 48. lp., pieejama: https://www.tm.gov.lv/lv/es-tiesibu-ieviesana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atbalsts tiek piešķirts saskaņā ar šo noteikumu </w:t>
            </w:r>
            <w:r w:rsidR="00000000" w:rsidRPr="00000000" w:rsidDel="00000000">
              <w:rPr>
                <w:rtl w:val="0"/>
              </w:rPr>
              <w:t xml:space="preserve">35.</w:t>
            </w:r>
            <w:r w:rsidR="00000000" w:rsidRPr="00000000" w:rsidDel="00000000">
              <w:rPr>
                <w:rtl w:val="0"/>
              </w:rPr>
              <w:t xml:space="preserve"> punktā minētajiem nosacījumiem, tad šo noteikumu </w:t>
            </w:r>
            <w:r w:rsidR="00000000" w:rsidRPr="00000000" w:rsidDel="00000000">
              <w:rPr>
                <w:rtl w:val="0"/>
              </w:rPr>
              <w:t xml:space="preserve">13.2.1.</w:t>
            </w:r>
            <w:r w:rsidR="00000000" w:rsidRPr="00000000" w:rsidDel="00000000">
              <w:rPr>
                <w:rtl w:val="0"/>
              </w:rPr>
              <w:t xml:space="preserve"> apakšpunktā minētajam finansējuma saņēmējam un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 minētajam sadarbības partnerim jāveic attīstāmās infrastruktūras izmantošanas proporcijas aprēķins valsts apmaksāto veselības aprūpes pakalpojumu sniegšanai un citu darbību veikšanai un jāpiemēro tā projekta kopējam finansējumam, nosakot publiskā un privātā finansējuma apmēru. Projekta kopējo publisko izmaksu maksimālo apmēru nosaka,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x</w:t>
            </w:r>
            <w:r w:rsidR="00000000" w:rsidRPr="00000000" w:rsidDel="00000000">
              <w:rPr>
                <w:rtl w:val="0"/>
              </w:rPr>
              <w:t xml:space="preserve"> – gadu skaits, kuriem tika aprēķināts projekta publisko izmaksu maksimālais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 </w:t>
            </w:r>
            <w:r w:rsidR="00000000" w:rsidRPr="00000000" w:rsidDel="00000000">
              <w:rPr>
                <w:b w:val="1"/>
                <w:i w:val="1"/>
                <w:vertAlign w:val="subscript"/>
                <w:rtl w:val="0"/>
              </w:rPr>
              <w:t xml:space="preserve">publ</w:t>
            </w:r>
            <w:r w:rsidR="00000000" w:rsidRPr="00000000" w:rsidDel="00000000">
              <w:rPr>
                <w:rtl w:val="0"/>
              </w:rPr>
              <w:t xml:space="preserve"> – attiecīgā gada publisko izmaksu maksimālais apmērs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sadarbības partnera statusā var piesaistīt: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tiesību normai ir jābūt skaidrai, lai tās lietotājs un piemērotājs gūtu nepārprotamu priekšstatu par normā ietvertajiem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14. punktu, lai nodrošinātu viennozīmīgu normu interpretāciju par to, kuri finansējuma saņēmēji (t.i. kuros noteikumu projekta apakšpunktos minētie) ir tiesīgi kā sadarbības partnerus piesaistīt citus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 anotācijas 1.3. sadaļas apakšsadaļas "Risinājuma apraksts" secināms, ka finansējuma saņēmējs - rezidents, kas apgūst ģimenes (vispārējās prakses) ārsta specialitāti, vai sertificēts ģimenes ārsts nevar piesaistīt kā sadarbības partneri citu rezidentu, kas apgūst ģimenes (vispārējās prakses) ārsta specialitāti, vai sertificētu ģimenes ārstu. Savukārt no noteikumu projekta 14. punkta šāds ierobežojums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14. punkts un tā apakšpunkti.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slēdzot rakstisku sadarbības līgumu, sadarbības partnera statusā var piesaistīt šādus sadarbības partnerus: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un sadarbības partneri (ja attiecināms), iesaistoties projekta īstenošanā, nodrošina, lai funkcijas, kuras tie pilda projekta īstenošanā, tiktu nodalītas no pamatfunkciju izpildes un saimnieciskās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un precizēt noteikumu projekta 17. punktu ar nosacījumu, ka projekta iesniedzējs un sadarbības partneris (ja attiecināms) nodrošinās atsevišķu ieņēmumu un izdevumu grāmatvedības uzskaiti, kā arī darbību un ar to īstenošanu saistīto finanšu plūsmu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17.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un sadarbības partneri (ja attiecināms), iesaistoties projekta īstenošanā, nodrošina, lai funkcijas, kuras tie pilda projekta īstenošanā, tiktu nodalītas no pamatfunkciju izpildes un saimnieciskās darbības, kā arī nodrošina atsevišķu ieņēmumu un izdevumu grāmatvedības uzskaiti, kā arī darbību un ar to īstenošanu saistīto finanšu plūsmu nodalīšanu.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kopā ar sadarbības partneriem (ja attiecināms) sagatavo projekta iesniegumu atbilstoši projektu iesniegumu atlases nolikumā noteiktajām prasībām un iesniedz to sadarbības iestādē, izmantojot Kohēzijas politikas fondu vadības informācijas sistēmu, tai skaitā projekta iesniedzējs un sadarbības partneri (ja attiecināms) paraksta interešu konflikta neesības apliecinājumu, ievērojot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Attiecīgi lūdzam noteikumu projekta 19. punktā precizēt regulas atsauci, norādot atsauci uz Regulu 2024/2509. Saskaņā ar Regulas 2024/2509 279. pantu atsauces uz atcelto Regulu 2018/1046 uzskata par atsaucēm uz Regulu 2024/2509, </w:t>
            </w:r>
            <w:r w:rsidR="00000000" w:rsidRPr="00000000" w:rsidDel="00000000">
              <w:rPr>
                <w:rtl w:val="0"/>
              </w:rPr>
              <w:t xml:space="preserve">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kopā ar sadarbības partneriem (ja attiecināms) sagatavo projekta iesniegumu atbilstoši projektu iesniegumu atlases nolikumā noteiktajām prasībām un iesniedz to sadarbības iestādē, izmantojot Kohēzijas politikas fondu vadības informācijas sistēmu, tai skaitā projekta iesniedzējs un sadarbības partneri (ja attiecināms) paraksta interešu konflikta neesības apliecinājumu, ievērojot Eiropas Parlamenta un Padomes 2024. gada 23. septembra Regulas (ES, Euratom) 2024/2509 par finanšu noteikumiem, ko piemēro Savienības vispārējam budžetam (pārstrādāta redakcija), 61. pantā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21.1.</w:t>
            </w:r>
            <w:r w:rsidR="00000000" w:rsidRPr="00000000" w:rsidDel="00000000">
              <w:rPr>
                <w:rtl w:val="0"/>
              </w:rPr>
              <w:t xml:space="preserve"> apakšpunktā minētās atbalstāmās darbības ietvaros ir attiecināmas projekta iesniedzēja un sadarbības partnera projekta vadības personāla izmaksas, kas radušās uz darba līguma (izņemot šo noteikumu </w:t>
            </w:r>
            <w:r w:rsidR="00000000" w:rsidRPr="00000000" w:rsidDel="00000000">
              <w:rPr>
                <w:rtl w:val="0"/>
              </w:rPr>
              <w:t xml:space="preserve">13.1.</w:t>
            </w:r>
            <w:r w:rsidR="00000000" w:rsidRPr="00000000" w:rsidDel="00000000">
              <w:rPr>
                <w:rtl w:val="0"/>
              </w:rPr>
              <w:t xml:space="preserve"> apakšpunktā minētajam projekta iesniedzējam un </w:t>
            </w:r>
            <w:r w:rsidR="00000000" w:rsidRPr="00000000" w:rsidDel="00000000">
              <w:rPr>
                <w:rtl w:val="0"/>
              </w:rPr>
              <w:t xml:space="preserve">14.1.</w:t>
            </w:r>
            <w:r w:rsidR="00000000" w:rsidRPr="00000000" w:rsidDel="00000000">
              <w:rPr>
                <w:rtl w:val="0"/>
              </w:rPr>
              <w:t xml:space="preserve"> apakšpunktā minētajam sadarbības partnerim) vai uzņēmuma līguma pamata, tai skaitā normatīvajos aktos nodarbinātības jomā noteiktās piemaksas un nodokļi, nepārsniedzot ierobežojumu, ko aprēķina ar minimālo izmaksu bāzi 34 422 </w:t>
            </w:r>
            <w:r w:rsidR="00000000" w:rsidRPr="00000000" w:rsidDel="00000000">
              <w:rPr>
                <w:i w:val="1"/>
                <w:rtl w:val="0"/>
              </w:rPr>
              <w:t xml:space="preserve">euro</w:t>
            </w:r>
            <w:r w:rsidR="00000000" w:rsidRPr="00000000" w:rsidDel="00000000">
              <w:rPr>
                <w:rtl w:val="0"/>
              </w:rPr>
              <w:t xml:space="preserve"> gadā, pieskaitot 0,64 % no projekta tiešajām attiecināmajām izmaksām, bet neieskaitot tiešās projekta vadības personāla izmaksas. Ja projekts ilgst mazāk par gadu vai nepilnos kalendārajos gados, tad ierobežojumu aprēķina proporcionāli projekta darbību īstenošanas pilnu mēnešu skaitam. Ja personāla iesaisti projektā nodrošina saskaņā ar daļlaika attiecināmības principu (attiecināms, ja izmaksas radušās uz darba līguma pamata),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22.punktu, ka tiešajām projekta vadības personāla atlīdzības izmaksām noteiktais ierobežojums ir Eiropas Reģionālās attīstības fonda daļai – “nepārsniedzot Eiropas Reģionālās attīstības fonda daļas ierobežojumu, ko aprēķina ar minimālo izmaksu bāzi 34 422 euro gadā, pieskaitot 0,64 % no projekta tiešajām attiecināmajām izmaksām, bet neieskaitot tiešās projekta vadības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attiecīgu papildinājumu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21.1. apakšpunktā minētās atbalstāmās darbības ietvaros ir attiecināmas projekta iesniedzēja un sadarbības partnera projekta vadības personāla izmaksas, kas radušās uz darba līguma (izņemot šo noteikumu 13.1. apakšpunktā minētajam projekta iesniedzējam un 14.1. apakšpunktā minētajam sadarbības partnerim) vai uzņēmuma līguma pamata, tai skaitā normatīvajos aktos nodarbinātības jomā noteiktās piemaksas un nodokļi, nepārsniedzot </w:t>
            </w:r>
            <w:r w:rsidR="00000000" w:rsidRPr="00000000" w:rsidDel="00000000">
              <w:rPr>
                <w:u w:val="single"/>
                <w:rtl w:val="0"/>
              </w:rPr>
              <w:t xml:space="preserve">Eiropas Reģionālās attīstības fonda daļas</w:t>
            </w:r>
            <w:r w:rsidR="00000000" w:rsidRPr="00000000" w:rsidDel="00000000">
              <w:rPr>
                <w:rtl w:val="0"/>
              </w:rPr>
              <w:t xml:space="preserve"> ierobežojumu, ko aprēķina ar minimālo izmaksu bāzi 34 422 euro gadā, pieskaitot 0,64 % no projekta tiešajām attiecināmajām izmaksām, bet neieskaitot tiešās projekta vadības personāla izmaksas. Ja projekts ilgst mazāk par gadu vai nepilnos kalendārajos gados, tad ierobežojumu aprēķina proporcionāli projekta darbību īstenošanas pilnu mēnešu skaitam. Ja personāla iesaisti projektā nodrošina saskaņā ar daļlaika attiecināmības principu (attiecināms, ja izmaksas radušās uz darba līguma pamata),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21.1.</w:t>
            </w:r>
            <w:r w:rsidR="00000000" w:rsidRPr="00000000" w:rsidDel="00000000">
              <w:rPr>
                <w:rtl w:val="0"/>
              </w:rPr>
              <w:t xml:space="preserve"> apakšpunktā minētās atbalstāmās darbības ietvaros ir attiecināmas projekta iesniedzēja un sadarbības partnera projekta vadības personāla izmaksas, kas radušās uz darba līguma (izņemot šo noteikumu </w:t>
            </w:r>
            <w:r w:rsidR="00000000" w:rsidRPr="00000000" w:rsidDel="00000000">
              <w:rPr>
                <w:rtl w:val="0"/>
              </w:rPr>
              <w:t xml:space="preserve">13.1.</w:t>
            </w:r>
            <w:r w:rsidR="00000000" w:rsidRPr="00000000" w:rsidDel="00000000">
              <w:rPr>
                <w:rtl w:val="0"/>
              </w:rPr>
              <w:t xml:space="preserve"> apakšpunktā minētajam projekta iesniedzējam un </w:t>
            </w:r>
            <w:r w:rsidR="00000000" w:rsidRPr="00000000" w:rsidDel="00000000">
              <w:rPr>
                <w:rtl w:val="0"/>
              </w:rPr>
              <w:t xml:space="preserve">14.1.</w:t>
            </w:r>
            <w:r w:rsidR="00000000" w:rsidRPr="00000000" w:rsidDel="00000000">
              <w:rPr>
                <w:rtl w:val="0"/>
              </w:rPr>
              <w:t xml:space="preserve"> apakšpunktā minētajam sadarbības partnerim) vai uzņēmuma līguma pamata, tai skaitā normatīvajos aktos nodarbinātības jomā noteiktās piemaksas un nodokļi, nepārsniedzot Eiropas Reģionālās attīstības fonda daļas ierobežojumu, ko aprēķina ar minimālo izmaksu bāzi 34 422 </w:t>
            </w:r>
            <w:r w:rsidR="00000000" w:rsidRPr="00000000" w:rsidDel="00000000">
              <w:rPr>
                <w:i w:val="1"/>
                <w:rtl w:val="0"/>
              </w:rPr>
              <w:t xml:space="preserve">euro</w:t>
            </w:r>
            <w:r w:rsidR="00000000" w:rsidRPr="00000000" w:rsidDel="00000000">
              <w:rPr>
                <w:rtl w:val="0"/>
              </w:rPr>
              <w:t xml:space="preserve"> gadā, pieskaitot 0,64 % no projekta tiešajām attiecināmajām izmaksām, bet neieskaitot tiešās projekta vadības personāla izmaksas. Ja projekts ilgst mazāk par gadu vai nepilnos kalendārajos gados, tad ierobežojumu aprēķina proporcionāli projekta darbību īstenošanas pilnu mēnešu skaitam. Ja personāla iesaisti projektā nodrošina saskaņā ar daļlaika attiecināmības principu (attiecināms, ja izmaksas radušās uz darba līguma pamata), attiecināma ir ne mazāka kā 30 procentu noslodze.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21.4.</w:t>
            </w:r>
            <w:r w:rsidR="00000000" w:rsidRPr="00000000" w:rsidDel="00000000">
              <w:rPr>
                <w:rtl w:val="0"/>
              </w:rPr>
              <w:t xml:space="preserve"> apakšpunktā minētās atbalstāmās darbības ietvaros ir attiecināmas komunikācijas un vizuālās identitātes prasību nodrošināšanas un horizontālā principa “Vienlīdzība, iekļaušana, nediskriminācija un pamattiesību ievērošana” darbību īstenošanai nepieciešamās izmaksas, lai izpildītu prasības atbilstoši regulas 2021/1060 47. un 50. pantam un normatīvajiem aktiem par kārtību, kādā Eiropas Savienības fondu vadībā iesaistītās institūcijas nodrošina šo fondu ieviešanu 2021.–2027. gada plānošanas periodā, tai skaitā indukcijas cilpu nomas, zīmju valodas tulku un vieglās valodas tulkošanas pakalpojumu izmaksas, subtitrēšanas un reāllaika transkripcijas pakalpojumu izmaksas, ja tas ir nepieciešams  informācijas piekļūstamības nodrošināšanai. Atbalsts minēto izmaksu segšanai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28. punktu piedāvātajā redakcijā, ņemot vērā, ka horizontālā principa “Vienlīdzība, iekļaušana, nediskriminācija un pamattiesību ievērošana” darbību īstenošanai nepieciešamās izmaksas nav attiecināms ne uz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pantā, ne uz normatīvajos aktos, kas nosaka kārtību, kādā Eiropas Savienības fondu vadībā iesaistītās institūcijas nodrošina šo fondu ieviešanu 2021. – 2027. gada plānošanas periodā,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21.4. apakšpunktu ar norādi uz horizontālā principa “Vienlīdzība, iekļaušana, nediskriminācija un pamattiesību ievērošana” darbību īstenošanu, ņemot vērā, ka minētā tiesību norma ir savstarpēji saistīta ar noteikumu projekta 28. punktu, jo 28. punktā uz to atsaucas. Proti, izsakot noteikumu projekta 21.4.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komunikācijas un vizuālās identitātes prasību nodrošināšana un horizontālā principa “Vienlīdzība, iekļaušana, nediskriminācija un pamattiesību ievērošana” darbību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21.4. apakšpunktā minētās atbalstāmās darbības ietvaros ir attiecināmas komunikācijas un vizuālās identitātes prasību nodrošināšanas un horizontālā principa “Vienlīdzība, iekļaušana, nediskriminācija un pamattiesību ievērošana” darbību īstenošanai nepieciešamās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21.4.</w:t>
            </w:r>
            <w:r w:rsidR="00000000" w:rsidRPr="00000000" w:rsidDel="00000000">
              <w:rPr>
                <w:rtl w:val="0"/>
              </w:rPr>
              <w:t xml:space="preserve"> apakšpunktā minētā atbalstāmā darbība ietver komunikācijas un vizuālās identitātes prasību un piekļūstamības nodrošināšanas izmaksas, lai izpildītu prasības atbilstoši regulas 2021/1060 47. un 50. pantam un normatīvajiem aktiem par kārtību, kādā Eiropas Savienības fondu vadībā iesaistītās institūcijas nodrošina šo fondu ieviešanu 2021.–2027. gada plānošanas periodā. Atbalsts minēto izmaksu segšanai nav kvalificējams kā komercdarbības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21.4.</w:t>
            </w:r>
            <w:r w:rsidR="00000000" w:rsidRPr="00000000" w:rsidDel="00000000">
              <w:rPr>
                <w:rtl w:val="0"/>
              </w:rPr>
              <w:t xml:space="preserve"> apakšpunktā minētā atbalstāmā darbība ietver komunikācijas un vizuālās identitātes prasību nodrošināšanas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28. punktu tā, lai skaidrs, ka atbalsts projekta komunikācijas un vizuālās identitātes prasību nodrošināšanas pasākumu izmaksām nav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21.4.</w:t>
            </w:r>
            <w:r w:rsidR="00000000" w:rsidRPr="00000000" w:rsidDel="00000000">
              <w:rPr>
                <w:rtl w:val="0"/>
              </w:rPr>
              <w:t xml:space="preserve"> apakšpunktā minētā atbalstāmā darbība ietver komunikācijas un vizuālās identitātes prasību un piekļūstamības nodrošināšanas izmaksas, lai izpildītu prasības atbilstoši regulas 2021/1060 47. un 50. pantam un normatīvajiem aktiem par kārtību, kādā Eiropas Savienības fondu vadībā iesaistītās institūcijas nodrošina šo fondu ieviešanu 2021.–2027. gada plānošanas periodā. Atbalsts minēto izmaksu segšanai nav kvalificējams kā komercdarbības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Pievienotās vērtības nodoklis, kas tiešā veidā saistīts ar projektu,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31.punktu ar vārdiem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Pievienotās vērtības nodoklis, kas tiešā veidā saistīts ar projektu,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w:t>
            </w:r>
            <w:r w:rsidR="00000000" w:rsidRPr="00000000" w:rsidDel="00000000">
              <w:rPr>
                <w:u w:val="single"/>
                <w:rtl w:val="0"/>
              </w:rPr>
              <w:t xml:space="preserve">ja tas nav atgūstams atbilstoši normatīvajiem aktiem nodokļu politikas jomā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Pievienotās vērtības nodoklis, kas tiešā veidā saistīts ar projektu,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 ja tas nav atgūstams atbilstoši normatīvajiem aktiem nodokļu politikas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13.1.</w:t>
            </w:r>
            <w:r w:rsidR="00000000" w:rsidRPr="00000000" w:rsidDel="00000000">
              <w:rPr>
                <w:rtl w:val="0"/>
              </w:rPr>
              <w:t xml:space="preserve"> , </w:t>
            </w:r>
            <w:r w:rsidR="00000000" w:rsidRPr="00000000" w:rsidDel="00000000">
              <w:rPr>
                <w:rtl w:val="0"/>
              </w:rPr>
              <w:t xml:space="preserve">13.2.2.</w:t>
            </w:r>
            <w:r w:rsidR="00000000" w:rsidRPr="00000000" w:rsidDel="00000000">
              <w:rPr>
                <w:rtl w:val="0"/>
              </w:rPr>
              <w:t xml:space="preserve"> ​​​​​​​ un </w:t>
            </w:r>
            <w:r w:rsidR="00000000" w:rsidRPr="00000000" w:rsidDel="00000000">
              <w:rPr>
                <w:rtl w:val="0"/>
              </w:rPr>
              <w:t xml:space="preserve">13.3.</w:t>
            </w:r>
            <w:r w:rsidR="00000000" w:rsidRPr="00000000" w:rsidDel="00000000">
              <w:rPr>
                <w:rtl w:val="0"/>
              </w:rPr>
              <w:t xml:space="preserve"> apakšpunktā minētajiem projekta iesniedzējiem, kuri plāno attīstīt ģimenes ārsta praksi, kurai nav uzticēts sniegt pakalpojumus ar vispārēju tautsaimniecisku nozīmi, atbalstu piešķir kā atbalstu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33. punktā vārdus "projekta iesniedzējiem" ar vārdiem "finansējuma saņēmējiem", ņemot vērā, ka atbalsts tiek piešķirts tieši finansējuma saņēmējam, nevis projekta iesniedzējam, proti, kad projekta iesniegums jau ir ticis apstiprināts. Atbilstoši Eiropas Savienības fondu 2021.—2027. gada plānošanas perioda vadības likuma 1. panta 3. punktam finansējuma saņēmējs ir persona, kuras projekta iesniegums ir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noteikumu projekta 35.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un pēc nepieciešamības precizēt arī citās noteikumu projekta normās lietotos jēdzienus "projekta iesniedzējs" (pirms projekta iesnieguma apstiprināšanas) un "finansējuma saņēmējs" (pēc projekta iesnieguma apstiprināšanas) atbilstoši subjekta faktiskajam statusam attiecīgajās situācijās, lai nodrošinātu regulējuma viennozīmīgu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13.1., 13.2.2.  un 13.3. apakšpunktā minētajiem </w:t>
            </w:r>
            <w:r w:rsidR="00000000" w:rsidRPr="00000000" w:rsidDel="00000000">
              <w:rPr>
                <w:u w:val="single"/>
                <w:rtl w:val="0"/>
              </w:rPr>
              <w:t xml:space="preserve">finansējuma saņēmējiem</w:t>
            </w:r>
            <w:r w:rsidR="00000000" w:rsidRPr="00000000" w:rsidDel="00000000">
              <w:rPr>
                <w:rtl w:val="0"/>
              </w:rPr>
              <w:t xml:space="preserve">, kuri plāno attīstīt ģimenes ārsta praksi, kurai nav uzticēts sniegt pakalpojumus ar vispārēju tautsaimniecisku nozīmi, atbalstu piešķir kā atbalstu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13.1.</w:t>
            </w:r>
            <w:r w:rsidR="00000000" w:rsidRPr="00000000" w:rsidDel="00000000">
              <w:rPr>
                <w:rtl w:val="0"/>
              </w:rPr>
              <w:t xml:space="preserve"> , </w:t>
            </w:r>
            <w:r w:rsidR="00000000" w:rsidRPr="00000000" w:rsidDel="00000000">
              <w:rPr>
                <w:rtl w:val="0"/>
              </w:rPr>
              <w:t xml:space="preserve">13.2.2.</w:t>
            </w:r>
            <w:r w:rsidR="00000000" w:rsidRPr="00000000" w:rsidDel="00000000">
              <w:rPr>
                <w:rtl w:val="0"/>
              </w:rPr>
              <w:t xml:space="preserve"> un </w:t>
            </w:r>
            <w:r w:rsidR="00000000" w:rsidRPr="00000000" w:rsidDel="00000000">
              <w:rPr>
                <w:rtl w:val="0"/>
              </w:rPr>
              <w:t xml:space="preserve">13.3.</w:t>
            </w:r>
            <w:r w:rsidR="00000000" w:rsidRPr="00000000" w:rsidDel="00000000">
              <w:rPr>
                <w:rtl w:val="0"/>
              </w:rPr>
              <w:t xml:space="preserve"> apakšpunktā minētajiem finansējuma saņēmējiem, kuri plāno attīstīt ģimenes ārsta praksi, kurai nav uzticēts sniegt pakalpojumus ar vispārēju tautsaimniecisku nozīmi, atbalstu piešķir kā atbalstu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 dokumentāciju par </w:t>
            </w:r>
            <w:r w:rsidR="00000000" w:rsidRPr="00000000" w:rsidDel="00000000">
              <w:rPr>
                <w:i w:val="1"/>
                <w:rtl w:val="0"/>
              </w:rPr>
              <w:t xml:space="preserve">de minimis</w:t>
            </w:r>
            <w:r w:rsidR="00000000" w:rsidRPr="00000000" w:rsidDel="00000000">
              <w:rPr>
                <w:rtl w:val="0"/>
              </w:rPr>
              <w:t xml:space="preserve"> atbalsta piešķiršanu finansējuma saņēmējs glabā 10 gadus no atbalsta piešķiršanas dienas, bet atbalsta sniedzējs - 10 gadus no pēdējā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37.7. apakšpunktu, aiz vārdiem “finansējuma saņēmējs” papildinot ar vārdiem: “un sadarbības partneris (ja attiecināms)”. Pēc analoģijas lūdzam precizēt arī noteikumu projekta 44.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34.7. apakšpunkts un 39.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dokumentāciju par </w:t>
            </w:r>
            <w:r w:rsidR="00000000" w:rsidRPr="00000000" w:rsidDel="00000000">
              <w:rPr>
                <w:i w:val="1"/>
                <w:rtl w:val="0"/>
              </w:rPr>
              <w:t xml:space="preserve">de minimis</w:t>
            </w:r>
            <w:r w:rsidR="00000000" w:rsidRPr="00000000" w:rsidDel="00000000">
              <w:rPr>
                <w:rtl w:val="0"/>
              </w:rPr>
              <w:t xml:space="preserve"> atbalsta piešķiršanu finansējuma saņēmējs un sadarbības partneris (ja attiecināms) glabā 10 gadus no atbalsta piešķiršanas dienas, bet atbalsta sniedzējs - 10 gadus no pēdējā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atbilstoši normatīvajiem aktiem par veselības aprūpes organizēšanu un samaksu ir noslēdzis ar Nacionālo veselības dienestu (turpmāk – pilnvarojuma uzlicējs) deleģēšanas līgumu par vispārējas tautsaimnieciskas nozīmes pakalpojuma (turpmāk – sabiedriskie pakalpojumi) sniegšanu. Līgumā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39. punktā minēto, ka attīstāmās infrastruktūras izmantošanas proporcijas aprēķinu valsts apmaksāto veselības aprūpes pakalpojumu sniegšanai un citu darbību veikšanai veic un piemēro sadarbības partnerim, lūdzam izvērtēt un pēc nepieciešamības precizēt noteikumu 41. un 48. punkta redakciju, iekļaujot atsauci arī uz sadarbības partneri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36. un 43.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un sadarbības partneris (ja attiecināms) atbilstoši normatīvajiem aktiem par veselības aprūpes organizēšanu un samaksu ir noslēdzis ar Nacionālo veselības dienestu (turpmāk – pilnvarojuma uzlicējs) deleģēšanas līgumu par vispārējas tautsaimnieciskas nozīmes pakalpojuma (turpmāk – sabiedriskie pakalpojumi) sniegšanu. Līgumā norāda: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Pasākuma īstenošanas un finansējuma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izziņā, kāpēc no noteikumu projekta tiek svītrotas normas, par individuālajiem projektu īstenošanas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norma noteikumu projektā tika iekļauta ar mērķi akcentēt darbību plānošanas etapu, pieņemot, ka var būt arī tādi gadījumi, kad projekta ieviesējs sakarā ar izsludinātā iepirkuma pārtraukšanu vai pagarināšanu ir spiests pārskatīt un pagarināt sākotnēji plānoto ieviešanas termiņu, un ņemot vērā to, ka nebija vienotas pieejas un izpratnes par šīs normas ieviešanu gan no potenciālo projektu iesniedzēju, gan no citu iesaistīto iestāžu puses, lai nebūtu domstarpību šajā jautājumā, šī norma tika svītrota. Skaidrojam, ka projektu iesniegumu vērtēšanas posmā projekti tiks vērtēti, arī vērtējot projekta īstenošanas laika grafiku, t.i. tiks vērtēts, vai projekta plānotais ieviešanas termiņš ir pamatots un atbilst faktiskajām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Pasākuma īstenošanas un finansējuma saņemšanas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Projekta iesniedzējs, kas plāno īstenot vienu no šo noteikumu </w:t>
            </w:r>
            <w:r w:rsidR="00000000" w:rsidRPr="00000000" w:rsidDel="00000000">
              <w:rPr>
                <w:rtl w:val="0"/>
              </w:rPr>
              <w:t xml:space="preserve">49.1.</w:t>
            </w:r>
            <w:r w:rsidR="00000000" w:rsidRPr="00000000" w:rsidDel="00000000">
              <w:rPr>
                <w:rtl w:val="0"/>
              </w:rPr>
              <w:t xml:space="preserve"> , </w:t>
            </w:r>
            <w:r w:rsidR="00000000" w:rsidRPr="00000000" w:rsidDel="00000000">
              <w:rPr>
                <w:rtl w:val="0"/>
              </w:rPr>
              <w:t xml:space="preserve">49.2.</w:t>
            </w:r>
            <w:r w:rsidR="00000000" w:rsidRPr="00000000" w:rsidDel="00000000">
              <w:rPr>
                <w:rtl w:val="0"/>
              </w:rPr>
              <w:t xml:space="preserve"> ​​​​​​​ un </w:t>
            </w:r>
            <w:r w:rsidR="00000000" w:rsidRPr="00000000" w:rsidDel="00000000">
              <w:rPr>
                <w:rtl w:val="0"/>
              </w:rPr>
              <w:t xml:space="preserve">49.3.</w:t>
            </w:r>
            <w:r w:rsidR="00000000" w:rsidRPr="00000000" w:rsidDel="00000000">
              <w:rPr>
                <w:rtl w:val="0"/>
              </w:rPr>
              <w:t xml:space="preserve"> apakšpunktos minētajiem prakšu attīstības veidiem, var pretendēt uz attiecināmo izmaksu kopsummu, kas nepārsniedz 30 000 </w:t>
            </w:r>
            <w:r w:rsidR="00000000" w:rsidRPr="00000000" w:rsidDel="00000000">
              <w:rPr>
                <w:i w:val="1"/>
                <w:rtl w:val="0"/>
              </w:rPr>
              <w:t xml:space="preserve">euro</w:t>
            </w:r>
            <w:r w:rsidR="00000000" w:rsidRPr="00000000" w:rsidDel="00000000">
              <w:rPr>
                <w:rtl w:val="0"/>
              </w:rPr>
              <w:t xml:space="preserve"> uz vienu projekta ietvaros attīstāmo ģimenes ārsta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anotācijā minētajam, ka katru ģimenes ārsta praksi var attīstīt ne vairāk kā viena projekta ietvaros, lūdzam izvērtēt un pēc nepieciešamības papildināt noteikumu 51. un 52. punktu ar informāciju, ka katru ģimenes ārsta praksi var attīstīt ne vairāk kā viena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katru ģimenes ārsta praksi var attīstīt ne vairāk kā viena konkrētā projekta ietvaros. Attiecīgi, ja iepriekšējā atklātās projektu iesniegumu atlases kārtā tika attīstīta ģimenes ārsta prakse par atbalsta summu, kas ir mazāka par 30 000 euro, tad ģimenes ārsts nākamajā atklātās projektu iesniegumu atlases kārtā var pieteikties uz atbalstu summu, kas kopā ar iepriekšējā atklātās projektu iesniegumu atlases kārtā saņemto atbalstu nepārsniedz maksimāli noteikto ierobežojumu – 30 000 euro. Tādējādi tiek ļauts piedalīties no jauna projektu iesnieguma atlasē ar iespējamību saņemt papildus atbalstu,  ievērojot, ka visās atklātās projektu iesniegumu atlases kārtās saņemtais finansējums nepārsniedz 30 000 euro uz vienu attīstāmo ģimenes ārsta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kas plāno īstenot vienu no šo noteikumu </w:t>
            </w:r>
            <w:r w:rsidR="00000000" w:rsidRPr="00000000" w:rsidDel="00000000">
              <w:rPr>
                <w:rtl w:val="0"/>
              </w:rPr>
              <w:t xml:space="preserve">44.1.</w:t>
            </w:r>
            <w:r w:rsidR="00000000" w:rsidRPr="00000000" w:rsidDel="00000000">
              <w:rPr>
                <w:rtl w:val="0"/>
              </w:rPr>
              <w:t xml:space="preserve"> , </w:t>
            </w:r>
            <w:r w:rsidR="00000000" w:rsidRPr="00000000" w:rsidDel="00000000">
              <w:rPr>
                <w:rtl w:val="0"/>
              </w:rPr>
              <w:t xml:space="preserve">44.2.</w:t>
            </w:r>
            <w:r w:rsidR="00000000" w:rsidRPr="00000000" w:rsidDel="00000000">
              <w:rPr>
                <w:rtl w:val="0"/>
              </w:rPr>
              <w:t xml:space="preserve"> un </w:t>
            </w:r>
            <w:r w:rsidR="00000000" w:rsidRPr="00000000" w:rsidDel="00000000">
              <w:rPr>
                <w:rtl w:val="0"/>
              </w:rPr>
              <w:t xml:space="preserve">44.3.</w:t>
            </w:r>
            <w:r w:rsidR="00000000" w:rsidRPr="00000000" w:rsidDel="00000000">
              <w:rPr>
                <w:rtl w:val="0"/>
              </w:rPr>
              <w:t xml:space="preserve"> apakšpunktos minētajiem prakšu attīstības veidiem, var pretendēt uz attiecināmo izmaksu kopsummu, kas nepārsniedz 30 000 </w:t>
            </w:r>
            <w:r w:rsidR="00000000" w:rsidRPr="00000000" w:rsidDel="00000000">
              <w:rPr>
                <w:i w:val="1"/>
                <w:rtl w:val="0"/>
              </w:rPr>
              <w:t xml:space="preserve">euro</w:t>
            </w:r>
            <w:r w:rsidR="00000000" w:rsidRPr="00000000" w:rsidDel="00000000">
              <w:rPr>
                <w:rtl w:val="0"/>
              </w:rPr>
              <w:t xml:space="preserve"> uz vienu projekta ietvaros attīstāmo ģimenes ārsta praksi.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Īstenojot projektu,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lai nodrošinātu, ka tie noteikumu projekta 56.punktā minētie nosacījumi, kas attiecināmi arī uz sadarbības partneri, tiktu atbilstoši attiecināti. Piemēram, noteikumu projekta 56.3. un 56.8. punktā minētie pienākumi attiecas arī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Īstenojot projektu, finansējuma saņēmējs un sadarbības partneris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nodrošina šo noteikumu </w:t>
            </w:r>
            <w:r w:rsidR="00000000" w:rsidRPr="00000000" w:rsidDel="00000000">
              <w:rPr>
                <w:rtl w:val="0"/>
              </w:rPr>
              <w:t xml:space="preserve">21.4.</w:t>
            </w:r>
            <w:r w:rsidR="00000000" w:rsidRPr="00000000" w:rsidDel="00000000">
              <w:rPr>
                <w:rtl w:val="0"/>
              </w:rPr>
              <w:t xml:space="preserve"> apakšpunktā minētos komunikācijas un vizuālās identitātes prasību nodrošināšanas pasākumus saskaņā ar regulas Nr. 2021/1060 47. un 50. pantu un normatīvajiem aktiem par kārtību, kādā Eiropas Savienības struktūrfondu un Kohēzijas fonda ieviešanā 2021.–2027. gada plānošanas periodā nodrošināma komunikācijas un vizuālās identitātes prasību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61.1. apakšpunktu, lai nodrošinātu korektu norādi uz normatīvo aktu jomu. Proti, lūdzam aizstāt noteikumu projekta 61.1. apakšpunktā vārdus un skaitļus "normatīvajiem aktiem par kārtību, kādā Eiropas Savienības struktūrfondu un Kohēzijas fonda ieviešanā 2021.–2027. gada plānošanas periodā nodrošināma komunikācijas un vizuālās identitātes prasību ievērošana" ar vārdiem un skaitļiem "normatīvajiem aktiem par kārtību, kādā Eiropas Savienības fondu vadībā iesaistītās institūcijas nodrošina šo fondu ieviešanu 2021.–2027. gada plānošanas periodā" (t.i. Ministru kabineta 2023. gada 13. jūlija noteikumi Nr. 408 "Kārtība,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anotācijas 1.3. sadaļas apakšsadaļā "Risinājuma apraksts" informācijā par sadarbības līgumu slēgšanu aizstāt atsauci uz Ministru kabineta 2014. gada 16. decembra noteikumiem Nr.784 “Kārtība, kādā Eiropas Savienības struktūrfondu un Kohēzijas fonda vadībā iesaistītās institūcijas nodrošina plānošanas dokumentu sagatavošanu un šo fondu ieviešanu 2014.–2020.gada plānošanas periodā” (ņemot vērā, ka minētie noteikumi attiecas uz Eiropas Savienības struktūrfondu un Kohēzijas fonda 2014.-2020. gada plānošanas periodu) ar atsauci uz Ministru kabineta 2023. gada 13. jūlija noteikumiem Nr. 408 "Kārtība, kādā Eiropas Savienības fondu vadībā iesaistītās institūcijas nodrošina šo fondu ieviešanu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nodrošina šo noteikumu </w:t>
            </w:r>
            <w:r w:rsidR="00000000" w:rsidRPr="00000000" w:rsidDel="00000000">
              <w:rPr>
                <w:rtl w:val="0"/>
              </w:rPr>
              <w:t xml:space="preserve">21.4.</w:t>
            </w:r>
            <w:r w:rsidR="00000000" w:rsidRPr="00000000" w:rsidDel="00000000">
              <w:rPr>
                <w:rtl w:val="0"/>
              </w:rPr>
              <w:t xml:space="preserve"> apakšpunktā minētos komunikācijas un vizuālās identitātes prasību nodrošināšanas pasākumus saskaņā ar regulas Nr. 2021/1060 47. un 50. pantu un normatīvajiem aktiem par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nodrošina horizontālā principa "Vienlīdzība, iekļaušana, nediskriminācija un pamattiesību ievērošana" īstenošanu un uzkrāj datus par šādiem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1.1.1.3. atlases 2.kārtā var būt projekti gan ar netiešu ietekmi (infrastruktūras attīstības projekti) gan bez ietekmes (tehnoloģiju iegāde) uz HP "Vienlīdzība, iekļaušana, nediskriminācija un pamattiesību ievērošana", aicinām precizēt apakšpunkta redakciju, papildinot ar vārdiem "ja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w:t>
            </w:r>
            <w:r w:rsidR="00000000" w:rsidRPr="00000000" w:rsidDel="00000000">
              <w:rPr>
                <w:b w:val="1"/>
                <w:rtl w:val="0"/>
              </w:rPr>
              <w:t xml:space="preserve">ja attiecināms</w:t>
            </w:r>
            <w:r w:rsidR="00000000" w:rsidRPr="00000000" w:rsidDel="00000000">
              <w:rPr>
                <w:rtl w:val="0"/>
              </w:rPr>
              <w:t xml:space="preserve">, nodrošina horizontālā principa "Vienlīdzība, iekļaušana, nediskriminācija un pamattiesību ievērošana" īstenošanu un uzkrāj datus par šādiem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56.2.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ja attiecināms, nodrošina horizontālā principa "Vienlīdzība, iekļaušana, nediskriminācija un pamattiesību ievērošana" īstenošanu un uzkrāj datus par šādiem rādītājiem: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ja tiek īstenota šo noteikumu </w:t>
            </w:r>
            <w:r w:rsidR="00000000" w:rsidRPr="00000000" w:rsidDel="00000000">
              <w:rPr>
                <w:rtl w:val="0"/>
              </w:rPr>
              <w:t xml:space="preserve">21.2.</w:t>
            </w:r>
            <w:r w:rsidR="00000000" w:rsidRPr="00000000" w:rsidDel="00000000">
              <w:rPr>
                <w:rtl w:val="0"/>
              </w:rPr>
              <w:t xml:space="preserve"> apakšpunktā minētā atbalstāmā darbība, nodrošina, ka projekta īstenošanas laikā un vismaz piecus gadus pēc projekta noslēguma maksājuma veikšanas, bet ne mazāk kā infrastruktūrā veikto ieguldījumu amortizācijas termiņā nekustamie īpašumi, kuri nepieciešami projekta īstenošanai, ir finansējuma saņēmēja, sadarbības partnera, valsts vai pašvaldības īpašumā, ilgtermiņa nomā, patapinājumā vai valdījumā, ir noslēgta vienošanās par apbūves tiesībām un tiesību prasība ir nostiprināta zemesgrāmatā. Ja investīcijas ir veiktas būvēs, nepalielinot būvapjomu, tad īpašumtiesībām vai citām tiesībām attiecībā uz zemi nav jābūt nostiprinātām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sabiedrisko pakalpojumu infrastruktūrai nenosaka dzīves ilgumu, lūdzam precizēt noteikumu projekta 61.7. apakšpunktā norādīto periodu, svītrojot “bet ne mazāk kā infrastruktūrā veikto ieguldījumu amortizācijas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56.7. apakšpunkts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ja tiek īstenota šo noteikumu </w:t>
            </w:r>
            <w:r w:rsidR="00000000" w:rsidRPr="00000000" w:rsidDel="00000000">
              <w:rPr>
                <w:rtl w:val="0"/>
              </w:rPr>
              <w:t xml:space="preserve">21.2.</w:t>
            </w:r>
            <w:r w:rsidR="00000000" w:rsidRPr="00000000" w:rsidDel="00000000">
              <w:rPr>
                <w:rtl w:val="0"/>
              </w:rPr>
              <w:t xml:space="preserve"> apakšpunktā minētā atbalstāmā darbība, nodrošina, ka projekta īstenošanas laikā un vismaz piecus gadus pēc projekta noslēguma maksājuma veikšanas nekustamie īpašumi, kuri nepieciešami projekta īstenošanai, ir finansējuma saņēmēja, sadarbības partnera, valsts vai pašvaldības īpašumā, ilgtermiņa nomā, patapinājumā vai valdījumā, ir noslēgta vienošanās par apbūves tiesībām un tiesību prasība ir nostiprināta zemesgrāmatā. Ja investīcijas ir veiktas būvēs, nepalielinot būvapjomu, tad īpašumtiesībām vai citām tiesībām attiecībā uz zemi nav jābūt nostiprinātām zemesgrāmatā;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61.8. nodrošina, ka iepirkumus, kuri nepieciešami atbalstāmo darbību īstenošanai, finansējuma saņēmējs veic atklātā, pārredzamā, nediskriminējošā un konkurenci nodrošinošā, un iespēju robežās sociāli atbildīgā veidā, kā arī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vārdus  "iespēju robežas" un izteikt apakšpunktu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61.8. nodrošina, ka iepirkumus, kuri nepieciešami atbalstāmo darbību īstenošanai, finansējuma saņēmējs veic atklātā, pārredzamā, nediskriminējošā un konkurenci nodrošinošā, </w:t>
            </w:r>
            <w:r w:rsidR="00000000" w:rsidRPr="00000000" w:rsidDel="00000000">
              <w:rPr>
                <w:strike w:val="1"/>
                <w:rtl w:val="0"/>
              </w:rPr>
              <w:t xml:space="preserve">un iespēju robežās sociāli atbildīgā veidā,</w:t>
            </w:r>
            <w:r w:rsidR="00000000" w:rsidRPr="00000000" w:rsidDel="00000000">
              <w:rPr>
                <w:rtl w:val="0"/>
              </w:rPr>
              <w:t xml:space="preserve"> kā arī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 </w:t>
            </w:r>
            <w:r w:rsidR="00000000" w:rsidRPr="00000000" w:rsidDel="00000000">
              <w:rPr>
                <w:b w:val="1"/>
                <w:rtl w:val="0"/>
              </w:rPr>
              <w:t xml:space="preserve">un sociāli atbildīgs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56.8.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 nodrošina, ka iepirkumus, kuri nepieciešami atbalstāmo darbību īstenošanai, finansējuma saņēmējs veic atklātā, pārredzamā, nediskriminējošā un konkurenci nodrošinošā veidā, kā arī saskaņā ar normatīvajiem aktiem publisko iepirkumu jomā, ievērojot nediskriminācijas principus. Projekta ietvaros iespēju robežās ir atbalstāma vides prasību un inovatīva risinājuma integrēšana preču un pakalpojuma iepirkumos (zaļais publiskais iepirkums un inovāciju publiskais iepirkums) un sociāli atbildīgs iepirkums.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iestāde, ja tai ir pieejami valsts budžeta līdzekļi, pamatojoties uz finansējuma saņēmēja rakstisku avansa pieprasījumu, pēc plānotā avansa apmēra un tā pamatojuma izvērtēšanas var piešķirt finansējuma saņēmējam avansu pēc tam, kad ir noslēgts līgums vai vienošanās par projekta īstenošanu. Finansējuma saņēmējs avansa pieprasījumu sagatavo un sadarbības iestāde to apstiprina, ņemot vērā nosacījumu, ka plānotā avansa apmērs atbilst spējai to izlietot sešu mēnešu laikā saimnieciskā gada ietvaros. Finansējuma saņēmējam avansu var piešķirt līdz 30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2023. gada 25. aprīļa noteikumu Nr. 205 "Valsts budžeta līdzekļu plānošanas kārtība Eiropas Savienības fondu projektu īstenošanai un maksājumu veikšanai 2021.–2027. gada plānošanas periodā" 10. punktu maksimālais avansa apjoms nevar pārsniegt 30 % no projektam piešķirtā Eiropas Savienības fonda finansējuma un, ja tas ir paredzēts projektā, </w:t>
            </w:r>
            <w:r w:rsidR="00000000" w:rsidRPr="00000000" w:rsidDel="00000000">
              <w:rPr>
                <w:u w:val="single"/>
                <w:rtl w:val="0"/>
              </w:rPr>
              <w:t xml:space="preserve">valsts budžeta līdzfinansējuma kopsummas</w:t>
            </w:r>
            <w:r w:rsidR="00000000" w:rsidRPr="00000000" w:rsidDel="00000000">
              <w:rPr>
                <w:rtl w:val="0"/>
              </w:rPr>
              <w:t xml:space="preserve">, ja vien normatīvajā aktā par specifiskā atbalsta mērķa īstenošanu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minēto noteikumu 16. punktu sadarbības iestāde, veicot avansa un starpposma maksājumus, ievēro nosacījumu, ka to kopsumma nedrīkst pārsniegt 90 % no projektam piešķirtā Eiropas Savienības fonda finansējuma un, ja tas paredzēts projektā, </w:t>
            </w:r>
            <w:r w:rsidR="00000000" w:rsidRPr="00000000" w:rsidDel="00000000">
              <w:rPr>
                <w:u w:val="single"/>
                <w:rtl w:val="0"/>
              </w:rPr>
              <w:t xml:space="preserve">valsts budžeta līdzfinansējuma kopsummas</w:t>
            </w:r>
            <w:r w:rsidR="00000000" w:rsidRPr="00000000" w:rsidDel="00000000">
              <w:rPr>
                <w:rtl w:val="0"/>
              </w:rPr>
              <w:t xml:space="preserve">, izņemot šo noteikumu 17. un 18. punktā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papildināt noteikumu projekta 62. punktu, paredzot, ka avansa apmērs un avansa un starpposma maksājumu kopsummas apmērs tiek aprēķināts no Eiropas Reģionālās attīstības fonda </w:t>
            </w:r>
            <w:r w:rsidR="00000000" w:rsidRPr="00000000" w:rsidDel="00000000">
              <w:rPr>
                <w:u w:val="single"/>
                <w:rtl w:val="0"/>
              </w:rPr>
              <w:t xml:space="preserve">un valsts budžeta līdzfinansējuma kopsummas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Sadarbības iestāde, ja tai ir pieejami valsts budžeta līdzekļi, pamatojoties uz finansējuma saņēmēja rakstisku avansa pieprasījumu, pēc plānotā avansa apmēra un tā pamatojuma izvērtēšanas var piešķirt finansējuma saņēmējam avansu pēc tam, kad ir noslēgts līgums vai vienošanās par projekta īstenošanu. Finansējuma saņēmējs avansa pieprasījumu sagatavo un sadarbības iestāde to apstiprina, ņemot vērā nosacījumu, ka plānotā avansa apmērs atbilst spējai to izlietot sešu mēnešu laikā saimnieciskā gada ietvaros. Finansējuma saņēmējam avansu var piešķirt līdz 30 procentiem no projektam piešķirtā Eiropas Reģionālās attīstības fonda finansējuma un valsts budžeta līdzfinansējuma kopsummas, ievērojot, ka avansu var izmaksāt vairākos maksājumos un avansa un starpposma maksājumu kopsumma nepārsniedz 90 procentus no projektam piešķirtā Eiropas Reģionālās attīstības fonda finansējuma un valsts budžeta līdzfinansējuma kopsummas.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pielikumā sniegto informāciju par noteikumu projekta 14.2.1. apakšpunktā noteiktajiem sadarbības partneriem, t.i., precizēt redakciju atbilstoši noteikumu projektā lietotai redakcijai, piemēram, atsaucoties uz noteikumu projekta 14.2.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anotācijas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terminu “pieejamība” aizstāt ar terminu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esam veikuši precizējumus anotācijā tajās vietās, kur ar pieejamību tiek saprasts kā termins par preču un pakalpojumu piekļūstamību prasības videi, informācijai, precēm  un pakalpojumiem, lai tie būtu ērti lietojami ikvienam, tai skaitā cilvēkiem ar dažāda veida funkcionēšanas ierobežojumiem. Savukārt 4.1.1.3. pasākuma "Primārās veselības aprūpes lomas stiprināšana, attīstot infrastruktūru" otrās kārtas mērķis ir  uzlabot veselības aprūpes pakalpojumu kvalitāti un pieejamību vairākos aspektos, gan infrastruktūras piekļūstamības, gan cilvēkresursu pieejamības, gan pietiekama finansējuma pieejamība, gan reģionālā pārklājuma pieejamība. Papildus skaidrojam, ka anotācija precizēta, tai skaitā, atbilstoši Labklājības ministrijas Informatīvajā ziņojumā “Par veiktajiem pasākumiem vides piekļūstamības sekmēšanai valsts un pašvaldību iestādēs” sniegtajam terminu skaidrojumam, kur teikts - Pieejamība nozīmē vides/objekta/pakalpojuma pieejamību vai esamību kopumā, savukārt piekļūstamība nozīmē, ka konkrētajai videi/ objektam/pakalpojumam ir iespēja fiziski piekļūt un to var lietot, izmantojot vairākus sensoros (redze, dzirde, tauste) kanālus.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izziņā, kāpēc par jaunatvērtu individuālo ģimenes ārsta praksi tagad ir uzskatāma tāda prakse, kas īsteno savu darbību ne ilgāk kā trīs gadus, nevis vienu gadu kā tas bija noteikts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nozares asociāciju izteiktos iebildumus par to, ka caur kapitācijas naudu un uzturēšanas naudu gada laikā nav iespējams veikt uzkrājumus prakses aprīkojumam un informācijas tehnoloģijām, detalizēti izanalizējām kapitācijas naudas un uzturēšanas naudas aprēķinus un secinājām, ka aprēķinā ir iekļauts aprīkojums, instrumenti un iekārtas ar nolietojuma periodu no 1 gada līdz 10 gadiem. Tā dēļ esam noteikuši vidējo rādītāju – trīs gadi, kad caur kapitācijas naudu un uzturēšanas naudu ģimenes ārstu prakses būs spējīgas veikt finansējuma uzkrājumus aprīkojuma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"Pašreizējā situācija, problēmas un risinājumi" atbalstāmās darbības "Informācijas un publicitātes pasākumu nodrošināšana" redakciju atbilstoši noteikumu projektā lietotai redakcijai -"Komunikācijas un vizuālās identitātes prasību nodrošināšana".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terminu "pakalpojumu pieejamība" aizstāt ar terminu "pakalpojumu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terminu “ vides pieejamība” aizstāt ar terminu “ vides un informācijas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“informācijas piekļūstamība” ietver sevī risinājumus cilvēkiem ar redzes, dzirdes un garīga rakstura traucējumiem, piemēram, taktilie un kontrasta risinājumi, indukcijas cilpas, virziena norādes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vietās, kur ar pieejamību tiek saprasts kā termins par preču un pakalpojumu piekļūstamību prasības videi, informācijai, precēm  un pakalpojumiem, lai tie būtu ērti lietojami ikvienam, tai skaitā cilvēkiem ar dažāda veida funkcionēšanas ierobežojumiem. Savukārt 4.1.1.3. pasākuma "Primārās veselības aprūpes lomas stiprināšana, attīstot infrastruktūru" otrās kārtas mērķis ir  uzlabot veselības aprūpes pakalpojumu kvalitāti un pieejamību vairākos aspektos, gan infrastruktūras piekļūstamības, gan cilvēkresursu pieejamības, gan pietiekama finansējuma pieejamība, gan reģionālā pārklājuma pieejamība.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1.3.sadaļā  “Pašreizējā situācija, problēmas un risinājumi” lūdzam pārskatīt informāciju: “Lai noteiktu, kurš ir uzskatāms par gala labuma guvēju - finansējuma saņēmējs vai sadarbības partneris, ir jāņem vērā, kam pieder attīstāmās telpas (vai tas pieder ārstniecības iestādei vai pašvaldībai), kā arī kam īpašumā ir iegādājamās medicīniskās iekārtas (ģimenes ārstam vai ārstniecības iestādei,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 finansējuma saņēmējam, kura īpašumā ir attīstāmas telpas vai iegādājamās medicīniskās iekārtas un kuram ir deleģēšanas līgums par valsts apmaksāto sekundāro ambulatoro vai stacionāro veselības aprūpes pakalpojumu sniegšanu ar NVD, bet kurš pats nesniedz valsts apmaksātos ģimenes ārsta pakalpojumus, bet nodrošina telpas vai telpas un aprīkojumu valsts apmaksāto ģimenes ārsta pakalpojumu sniegšanai ārstniecības iestādei, kurai uzticēts sniegt pakalpojumus ar vispārēju tautsaimniecisku nozīmi, tam atbalstu piešķir kā kompensāciju par vispārējas tautsaimnieciskas nozīmes pakalpojuma sniegšanu atbilstoši Eiropas Komisijas lēmumam Nr. 2012/21/ES.“ un precizēt redakciju atbilstoši noteikumu 38.un 39.punkta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pārkompensācijas kontroli - kā atbalsta sniedzējs pārbaudīs noteikumu projekta 42. punktā noteikto pienākumu finansējuma saņēmējam iesniegt pilnvarojuma uzlicēja apliecinājumu, kam jābūt norādītam pilnvarojuma aktā un kā praksē jānodrošina pārkompensācijas kontrole,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Pārkompensācijas uzraudzību veic pilnvarojuma uzlicējs un, lai pilnvarojuma uzlicējs varētu kvalitatīvi novērst pārkompensācijas riskus un izpildīt pienākumu par pārkompensācijas uzraudzību, pilnvarojuma aktā ir iekļauts nosacījums, ka pilvarojuma uzlicējs veic regulāras pārbaudes vai nodrošina, ka tās tiek veiktas, vismaz ik pēc trīs gadiem sabiedrisko pakalpojumu līguma darbības laikā un tā beigās, pamatojoties uz normatīvajiem aktiem, kas nosaka atlīdzības maksājumu/kompensāciju aprēķināšanas un piešķiršanas kārtību, kritērijus un nosacījumus, kā arī pārkompensācijas kontroles kārtību. Minētais pārkompensācijas uzraudzības mehānisms tiek izvērtēts projekta iesnieguma vērtēšanas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būtu lietderīgi anotācijas 6.2.apakšpunktā ietvert īsu aprakstošu informāciju, to skaitā, norādot izmantoto sabiedrības iesaistes veidu - domnīcu, saistībā ar domnīcas norisi, kurā tika noskaidrota sabiedrības nostāja par primārās veselības aprūpes pakalpojumu īstenošanu. Šobrīd minētā informācija iekļauta anotācijas 1.3.apakšpunktā kā pamatojums noteikumu projekta izstrādei, tomēr tā ir attiecināma arī uz sabiedrības iesaisti.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6.2.sadaļa.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iepazīties ar Ministru kabineta 2024.gada 15.oktobra noteikumiem Nr. 639 "Sabiedrības līdzdalības kārtība attīstības plānošanas procesā". Norādām, ka saskaņā ar minēto noteikumu 4.punktu sabiedrības līdzdalība jānodrošina arī tiesību aktu projektu izstrādes procesā, bet ja tas netiek darīts, jāsniedz skaidrojums anotācijā. Lūdzam novērst neprecizitātes Veselības ministrijas sniegtajā skaidrojumā.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6.3.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noteikumu projekta anotācijas 6.4.apakšpunktā norādīto informāciju pārcelt uz 6.3. sadaļu. Vienlaikus aicinām papildināt sniegto informāciju, norādot, vai tika saņemta atgriezeniskā saite no biedrībām, kurām viedokļa sniegšanai tika nosūtīts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6.3. un 6.4.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ka 1.1.1.3. atlases otrajā kārtā projektiem, kuros ir plānota tikai tehnoloģiju iegāde, piegāde un montāža, nav ietekmes uz HP VINPI, jo to darbības ir vērstas uz tehnoloģiju pilnveidošanu vai nomaiņu, ieguldījumi nav saistīti ar cilvēkresursu attīstību vai publiskās infrastruktūras izveidi. Šajos projektos specifiskās darbības un HP VINPI rādītāji nav jāparedz, bet ir jāparedz vismaz viena vispārīgā HP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kuros ir plānota tikai tehnoloģiju iegāde, piegāde un montāža, nav ietekmes uz HP VINPI, jo to darbības ir vērstas uz tehnoloģiju pilnveidošanu vai nomaiņu, ieguldījumi nav saistīti ar cilvēkresursu attīstību vai publiskās infrastruktūras izveidi. Šajos projektos specifiskās darbības un HP VINPI rādītāji nav jāparedz, bet ir jāparedz vismaz viena vispārīgā HP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8.2.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24-TA-2584</w:t>
    </w:r>
    <w:r>
      <w:br/>
    </w:r>
    <w:r w:rsidR="00000000" w:rsidRPr="00000000" w:rsidDel="00000000">
      <w:rPr>
        <w:rtl w:val="0"/>
      </w:rPr>
      <w:t xml:space="preserve">18.12.2024. 17.12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24-TA-2584</w:t>
    </w:r>
    <w:r>
      <w:br/>
    </w:r>
    <w:r w:rsidR="00000000" w:rsidRPr="00000000" w:rsidDel="00000000">
      <w:rPr>
        <w:rtl w:val="0"/>
      </w:rPr>
      <w:t xml:space="preserve">18.12.2024. 17.12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Izziņa_24-TA-2584.docx</dc:title>
</cp:coreProperties>
</file>

<file path=docProps/custom.xml><?xml version="1.0" encoding="utf-8"?>
<Properties xmlns="http://schemas.openxmlformats.org/officeDocument/2006/custom-properties" xmlns:vt="http://schemas.openxmlformats.org/officeDocument/2006/docPropsVTypes"/>
</file>