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paaugstināt personu ar invaliditāti vai funkcionēšanas ierobežojumiem apkalpošanas efektivitāti un kvalitāti, Veselības un darbspēju ekspertīzes ārstu valsts komisijas (turpmāk – komisija)  nodarbināto profesionālās spējas, vienlaikus samazinot invaliditātes ekspertīzei patērēto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konceptuāli neiebilst pret noteikumu projektā piedāvātajiem Veselības un darbspēju ekspertīzes ārstu valsts komisijas (turpmāk-VDEĀVK) darba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vienlaikus aicinām nepieciešamās investīcijas VDEĀVK darba efektivitātes un kvalitātes uzlabošanai, tajā skaitā informācijas sistēmu pilnveidošanai, vērtēt kontekstā ar Latvijas Republikas Saeimas Sociālo un darba lietu komisijas sēdēs sniegtajiem Veselības ministrijas priekšlikumiem VDEĀVK pilnveidošanai, Komisijas sēdēs runāto un nolemto par VDEĀVK turpmāko darbību, kā arī Komisijas 2023.gada vēstulē Nr.142.1.9/9-11-14/23 doto uzdevumu Labklājības ministrijai ar Veselības ministriju līdz š.g. 15.septembrim sagatavot redzējumu par VDEĀVK nākotni, tajā skaitā iespējamu invaliditātes novērtēšanas funkcijas nodošanu ārstu konsīlijiem un attiecīgi tādējādi noteikumu projektā ieplānotajiem pasākumiem zaudējot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(turpmāk – LM)  skaidro, ka šobrīd nav pieņemts lēmums  par  Veselības un darbspēju ekspertīzes ārstu valsts komisijas (turpmāk – VDEĀVK) turpmāko darbību. Saeimas sociālo un darba lietu komisija (turpmāk – Komisija) LM un Veselības ministrijai (turpmāk – VM) ir devusi uzdevumu, ar kuru aicina VM un LM turpināt Komisijas sēdē iesākto diskusiju par invaliditātes noteikšanas procesa organizēšanu, 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skaitā par VDEĀVK nākotni, izvērtējot VDEĀVK funkciju nodošanu ārstu konsīlijiem. Līdz ar to šobrīd nav pamata uzskatīt, ka tiks pieņemts lēmums par  VDEĀVK  kā iestādes reorganizāciju un tās funkciju pārdali ārstu konsīlijiem. Tādējādi atbilstoši Ministru kabineta 2011. gada 26. aprīļa noteikumiem Nr. 315 “Veselības un darbspēju ekspertīzes ārstu valsts komisijas nolikums” VDEĀVK ir labklājības ministra pakļautībā esoša tiešās pārvaldes iestāde, kuras funkcija ir veikt prognozējamas invaliditātes un invaliditātes ekspertīzi. Attiecīgi VDEĀVK uzdevums ir nodrošināt kvalitatīvu invaliditātes ekspertīzes procesu, tai skaitā stiprinot VDEĀVK ārstu zināšanas un kapacitāti. LM ieskatā VDEĀVK speciālistu kapacitātes stiprināšana un veiktspējas celšana, tai skaitā ārstu mācības par invaliditātes ekspertīzes procesu nav atraujamas no kvalitatīva pakalpojuma sniegšanas. Tādēļ gan speciālistu mācības, gan VDEĀVK procesu un analītiskās funkcijas attīstība un Invaliditātes informatīvās sistēmas pilnveide par bērnu invaliditātes noteikšanas kritēriju piemērošanu, gan vienota informācijas sniegšanas modeļa par pieejamo atbalstu invaliditātes gadījumā, izstrāde, gan sabiedrības izpratnes un informētības paaugstināšanas pasākumu īstenošana, jebkurā gadījumā ir ilgtermiņa ieguldījums, kurš sniegs tiešu un pozitīvu ietekmi gan ārstu darbam lēmumu pieņemšanā, gan VDEĀVK pakalpojuma saņēmējiem. Minētās projekta aktivitātes nevar zaudēt aktualitāti pēc būtības, neatkarīgi no tā, kur ekspertīzes funkcija nākotnē atrastos. Ja rudenī tiks pieņemts lēmums par VDEĀVK reorganizēšanu, tad vienlaikus būs jārisina jautājumi par citu saistīto procesu piekritību, tai skaitā projekta īstenošanas saistību pārņemšanu. Būtiski, ka plānotā projekta īstenošana uzsākta 2022. gada jūlijā atbilstoši Informatīvajā ziņojumā (19.04.2022. MK protokollēmums Nr.22/37.§) (turpmāk – Informatīvais ziņojums) noteiktajam, attiecīgi tajā paredzēto darbību īstenošana jau ir ieviešanas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paaugstināt personu ar invaliditāti vai funkcionēšanas ierobežojumiem apkalpošanas efektivitāti un kvalitāti, Veselības un darbspēju ekspertīzes ārstu valsts komisijas (turpmāk – komisija)  nodarbināto profesionālās spējas, vienlaikus samazinot invaliditātes ekspertīzei patērēto laiku.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2029. gada 31. decembrim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uzraudzības rādītāju starpposma sasniedzamo vērtību līdz 2024.gada 31.decembrim atbilstoši Eiropas Savienības kohēzijas politikas programmai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lūdzu precizēt rādītāju nosaukumus precīzi atbilstoši Eiropas Savienības kohēzijas politikas programmai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redakcionāli precizēts un  papildināts ar starpposma rādītāju, nodrošinot atbilstību Eiropas Savienības kohēzijas politikas programmai 2021.–2027. gadam (turpmāk – 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 veikti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nacionālais iznākuma rādītājs – pilnveidoto informācijas sistēmu skaits – 1 (projekta līmeņa rādītājs);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nacionālo iznākuma rādītāju norādīt kā finansējuma saņēmēja uzkrājamo informāciju, kuru pēc pieprasījuma iesniedz atbildīgajai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gadījumā pēc izvērtēšanas Ministru kabineta (turpmāk- MK) noteikumu projektā tiek noteikts nacionālais iznākuma rādītājs, lūdzu MK noteikumu projektā noteikt, ka šī nacionālo iznākuma rādītāja uzraudzību veic atbildīgā iestāde saskaņā ar Finanšu ministrijas izstrādātās vadlīnijas “Vadlīnijas Ministru kabineta noteikumu par specifiskā  atbalsta mērķa īstenošanu izstrādei Eiropas Savienības fondu 2021.—2027. gada plānošanas periodā” projekta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kādam SAM/pasākumam programmā nav noteikti rādītāji vai arī noteiktie programmas rādītāji ir vispārīgi (arī 4.3.6.2. pasākuma gadījumā), neatspoguļo projekta tvērumu, Labklājības ministrija (turpmāk – LM) ir noteikusi nacionālos rādītājus. Nacionālie rādītāji uzkrājami un uzraugāmi līdzvērtīgi kā programmas rādītāji, lai vērtētu projekta 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Atbilstošs skaidrojums jau sniegts anotācijā, norādot, ka par nacionālā rādītāja izpildi Veselības un darbspēju ekspertīzes ārstu valsts komisija (turpmāk – komisija) ziņos Centrālai finanšu un līgumu aģentūrai (turpmāk – CFLA), iesniedzot kārtējo maksājuma pieprasījumu Kohēzijas politikas fondu vadības informācijas sistēmā (turpmāk – KPVIS). Dati tiks uzkrāti KPVIS.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nacionālais iznākuma rādītājs – pilnveidoto informācijas sistēmu skaits – 1 (projekta līmeņa rādītājs);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MK noteikumu projektā noteikt, ka nacionālo iznākuma rādītāja uzraudzību veic atbildīgā iestāde saskaņā ar Finanšu ministrijas izstrādātās vadlīnijas “Vadlīnijas Ministru kabineta noteikumu par specifiskā  atbalsta mērķa īstenošanu izstrādei Eiropas Savienības fondu 2021.—2027. gada plānošanas periodā” projekta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4.2.2. apakšpunkts, izslēdzot tekstu iekavās.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precizēta informācija anotācijā, svītrojot ierakstu, ka nacionālie rādītāji tiks uzraudzīti līdzvērtīgi programmas rādītājiem (proti, nacionālo rādītāju gadījumā nav paredzēts, ka CFLA veiks 100% datu pārbaudi, kā arī par to izpildi nav plānots ziņot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 iepriekš izziņas 2.   punktā aprakstītajam, skaidrojam, ka gadījumos, ja kādam SAM/pasākumam programmā nav noteikti rādītāji, vai arī noteiktie programmas rādītāji ir vispārīgi (arī 4.3.6.2. pasākuma gadījumā – kur kā rādītājs ir noteikta “nacionāla, reģionāla vai vietēja mēroga valsts administrācijas vai sabiedrisko pakalpojumu iestāžu un pakalpojumu skaits, kas saņēmuši atbalstu”, kas tiks sasniegts, apstiprinot projekta iesniegumu un noslēdzot vienošanos ar VDEĀVK), neatspoguļo projekta tvērumu, LM ir noteikusi nacionālos rādītājus. Nacionālie rādītāji uzkrājami un uzraugāmi, lai vērtētu projekta kopējo 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 sniegts skaidrojums anotācijā, norādot, ka par nacionālā rādītāja izpildi būs atbildīga VDEĀVK, par rādītāja izpildi tā ziņos, iesniedzot kārtējo maksājuma pieprasījumu Kohēzijas politikas fondu vadības informācijas sistēmā (turpmāk – KPVIS). Dati tiks uzkrāti KPVIS, to izpildes uzraudzību veiks CFLA kopējā projekta uzraudzības procesā, ja nepieciešams, minēto vērtējot izlases veidā pārbaudēs pie finansējuma saņēmēja.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nacionālais iznākuma rādītājs – pilnveidoto informācijas sistēmu skaits – 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LM 03.04.2023. Nr.21-13/514 vēstulē VM konstatēto nepietiekamo ārstu ekspertu nodrošinājumu VDEĀVK, kā arī noteikumu projektā izvirzīto mērķi stiprināt VDEĀVK kapacitāti, samazinot invaliditātes ekspertīzei patērēto laiku, aicinam vērtēt un rast iespēju papildināt noteikumu projekta 13. punktu ar šādu atbalstāmo darbību: ārstu ekspertu sagatavošana un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 kā arī paredzēt rezultatīvo rādītāju noteikumu projekta 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no valsts budžeta līdzekļiem rezidentūras vietas ārsta eksperta papildspecialitātē netiek nodrošinātas, ņemot vērā plānotās izmaiņas ārstu papildspecialitāšu, tajā skaitā ārsta eksperta papildspecialitātē, un apakšspecialitāšu izglītības procesā kopumā. VM ir uzsākusi darbu pie pakāpeniskas papildspecialitāšu un apakšspecialitāšu rezidentūras procesa organizācijas maiņas, paredzot šo specialitāšu apguvi profesionālajā tālākizglītībā ārpus formālā izglītības procesa. Šāda pieejas maiņa dos iespēju darba devējiem piesaistīt nepieciešamo personālu, kā arī padarīs specialitāšu apguvi elastīgāku, ņemot vērā, ka izglītības process nebūs sasaistīts ar mācību gadu. Līdz minēto izmaiņu ieviešanai, ārsta eksperta specialitātes apguve tiek nodrošināta augstskolas (RSU) maksas rezidentūrā.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iespēja papildināt noteikumu projektu atbilstoši iebildumā norādītājam. Skaidrojam, ka iekļaut noteikumu projektā jaunu atbalstāmo darbību – ārstu ekspertu sagatavošana un piesaiste, nav iespējams no lietderības un efektivitātes viedokļa. Plānotā projekta, kura īstenošana uzsākta 2022. gada jūlijā atbilstoši Informatīvajā ziņojumā noteiktajam (īstenošana šobrīd plānota līdz 2025. gada 31. decembrim), ietvaros,   pārdalot finansējumu, kura investēšana vēl nav uzsākta, starp atbalstāmajām darbībām, maksas rezidentūrā papildspecialitātē ‘Eksperts’ varētu atbalstīt tikai vienu ārstu ekspertu. Minēto pamato tas, ka  maksas rezidentūra papildspecialitātē ‘Eksperts’ izmaksā indikatīvi 5120 euro gadā + rezidenta atlīdzība 2 176,37 euro mēnesī (tai skaitā amatalga cita veida atlīdzībai saistībā ar darbu (atalgojums 268,62 euro un darba devēja valsts sociālās apdrošināšanas obligātās iemaksas 63,37 euro), papildu piemaksa vienu reizi ceturksnī, tādējādi kopā veidojas izmaksas 31 236,44 euro apmērā gadā viena ārsta eksperta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Investējot finansējumu viena  VDEĀVK darbinieka mācībās, ieguvums būs mazāks kā, īstenojot jau projektā paredzēto un organizējot mācības visiem VDEĀVK ārstiem ekspertiem par specifiskiem jautājumiem, t.i., lai veicinātu VDEĀVK ārstu izpratni par medicīniskās ekspertīzes jautājumiem, būtību un stiprinātu ārstu zināšanas personu funkcionālo spēju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Plānotajā projektā jau ir veiktas darbības, lai nodrošinātu plānoto mācību ciklu īstenošanu par specifiskajiem jautājumiem invaliditātes noteikšanas jomā, tā piemēram, jau ir  veikta mācību vajadzību izpēte, definētas tēmas, sagatavota dokumentācija mācību pakalpojuma nodrošināšanai, noris tirgus izpēte utml.  Pēc līguma noslēgšanas tiks izstrādāta katras mācību tēmas programma, sagatavoti materiāli un nodrošinātas mācības lekciju cikla veidā (8 līdz 10 dažādas lekcijas VDEĀVK nodarbinātajiem).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finansējuma saņēmēja projekta vadības un  īstenošanas personāla atlīdzības izmaksas, atbilstoši Valsts un pašvaldību institūciju amatpersonu un darbinieku atlīdzības likumā noteiktajam, izņemot virsstundas. Ja personāla iesaiste projektā ir nodrošināta saskaņā ar daļlaika izmaksu attiecināmības principu, attiecināma ir ne mazāk kā 30 procentu noslodze no normāla darba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izziņā sniegto skaidrojumu, turpinām uzturēt izteikto iebildumu par vienkāršoto izmaksu piemērošanu personāla atlīdzības izmaksām, proti, lūdzam tās paredzēt kā vienkāršotās izmaksas vai sniegt argumentētu pamatojumu vienkāršoto izmaksu nepiemērošanai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izvērtētas vienkāršoto izmaksu piemērošanas iespējas, tai skaitā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personāla atlīdzības izmaksām nav iespēju piemērot vienoto likmi līdz 20 procentu apmērā no šo noteikumu tiešajām attiecināmajām izmaksām, kas nav tiešās personāla izmaksas, jo faktiskās nepieciešamās izmaksas pārsniedz noteikto procentu likmi. Ņemot vērā, ka 4.3.6.2. pasākuma īstenošana (kā plānotais projekts) jau ir uzsākusies atbilstoši Informatīvā ziņojuma nosacījumiem, noteikumu projekts paredz vienotās likmes metodikas izstrādi personāla atlīdzībai, kas tiks piemērota no minētās metodikas apstiprināšanas brīža.  Gan plānotajā projektā, gan līdz metodikas apstiprināšanai projektā personāla atlīdzībai paredzētas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noteikumu projekta 15. punktā un tā apakšpunktos, kā arī noteikumu projekta 16.1.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 veikti arī anotācijas apakšsadaļā “Risinājuma apraksts”, papildinot informāciju ar norādi par metodikas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finansējuma saņēmēja projekta vadības un  īstenošanas personāla atlīdzības izmaksas, atbilstoši Valsts un pašvaldību institūciju amatpersonu un darbinieku atlīdzības likumā noteiktajam, izņemot virsstundas. Ja personāla iesaiste projektā ir nodrošināta saskaņā ar daļlaika izmaksu attiecināmības principu, attiecināma ir ne mazāk kā 30 procentu noslodze no normāla darba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Informatīvā ziņojuma saskaņošanas laikā sniegto informāciju izziņā, proti, ka "LM atkārtoti vērtēs vienkāršoto izmaksu piemērošanas iespējas uz MK noteikumu par pasākuma īstenošanu izstrādes brīdi, kad būs precīzāk zināms 2021. – 2027.gada plānošanas perioda horizontālais normatīvais regulējums", lūdzam iespējami plašāk piemērot vienkāršotās izmaksas, t.sk., personāla atlīdzības izmaksām. Vēršam uzmanību, ka anotācijā pašlaik nav norādīti argumentēti pamatojumi vienkāršoto izmaksu nepiemērošanai.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izvērtētas vienkāršoto izmaksu piemērošanas iespējas, tai skaitā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apakšsadaļā “Risinājuma apraksts” ietvertajai informācijai par vienkāršoto izmaksu piemērošanu, skaidrojam, ka personāla atlīdzības izmaksām nav iespēju piemērot vienoto likmi līdz 20 procentu apmērā no šo noteikumu tiešajām attiecināmajām izmaksām, kas nav tiešās personāla izmaksas, jo nepieciešamās atlīdzības izmaksas projekta personālam pārsniedz noteikto procentu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šobrīd prioritizē specifisko atbalsta mērķu un to pasākumu MK noteikumu izstrādi, lai varētu uzsākt 2021. – 2027.gada plānošanas perioda specifisko atbalsta mērķu un to pasākumu īstenošanu un nodrošināt n+3 principa izpildi. Paralēli tiek ieguldīts liels darbs esošo metodiku pilnveidei, izstrādei, saskaņošanai, t.sk. tādām, kas tiks izmantotas arī 2021. – 2027.gada plānošanas periodā.  Jāatzīmē, ka arī Finanšu ministrijas – vadošās iestādes piesaistītie pakalpojumu sniedzēji nespēja izstrādāt horizontālās personāla un apmācību izmaksu metodikas, kas apliecina to, ka ieguldāmais darbs ir liels un pamatīgs un šādu resursu LM pie intensīvas MK noteikumu izstrādes un esošo metodiku pilnveides, kā arī citiem papildu uzdevumiem nav. Tāpēc LM ierosināja informatīvā ziņojuma par Finanšu ministrijas pārziņā esošo Eiropas Savienības fondu un ārvalstu finanšu palīdzības aktualitātēm līdz 2023. gada 1. martam (pusgada ziņojums) (izskatīts MK 25.04.2023. sēdē) saskaņošanas laikā Finanšu ministrijai –  vadošajai  iestādei uzņemties vadošo lomu horizontālās metodikas izstrādē, jo, neskatoties uz specifisko atbalsta mērķu un to pasākumu specifiku, valsts un pašvaldības institūciju atlīdzības nosacījumi visām institūcijām ir vienādi. Minētā informatīvā ziņojuma saskaņošanas laikā tika panākta vienošanās, ka jautājums par horizontālas metodikas izstrādes iespējām tiks ietverts Finanšu ministrijas – vadošās iestādes, atbildīgo iestāžu un sadarbības iestādes sanāksmes darba kārtībā, kurā visas ES fondu vadībā iesaistītās institūcijas varētu izdiskutēt gan personāla izmaksu nemainīgās likmes pamatošanas pieejas, gan arī horizontālās metodikas izstrādes iespējas un vienoties par rīcībām un termiņiem. Pēc šīs diskusijas būtu pamatoti atgriezties pie pienākuma katrai atbildīgajai iestādei izstrādāt  vienas vienības metodiku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pārējām izmaksām,  jāņem vērā arī 4.3.6.2. pasākuma atbalstāmās darbības un to īstenošanai paredzētās izmaksas, t.i., vai tās paredzētas vienreiz vai ar noteiktu regularitāti, un vai šīm izmaksām ir iespējams nodefinēt vienu vienību. Piemēram, 4.3.6.2. pasākuma ietvaros paredzēta komisijas pakalpojumu un informācijas sistēmas uzlabošana.  Nav iespējams precīzi noteikt, kas un kādā apjomā tiks paredzēts, izstrādājot ieteikumus komisijas darbības procesiem un pakalpojumu standartiem, definējot ieteikumus komisijas darba kvalitātes uzlabošanai. Tāpat arī nav iespējams precīzi noteikt, kas un kādā apjomā tiks paredzēts, izstrādājot vienotu informācijas sniegšanas modeli par pieejamo atbalstu invaliditātes gadījumā, kā arī pilnveidojot informācijas sistēmu, jo pilnveidojumi balstās vēl tikai plānotajās saistošo tiesību aktu izmaiņās attiecībā par bērnu invaliditātes noteikšanas kārtību.  Tādējādi nav iespējams noteikt vienu vienību un attiecīgi arī izstrādāt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nepieciešamības gadījumā papildu vienkāršoto izmaksu piemērošanas iespējas tiks vērtētas 4.3.6.2. pasākuma īstenošanas gaitā.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darba vietas aprīkojuma iegādei vai nomai, tai skaitā aprīkojuma uzturēšanai un remontam, finansējuma saņēmēja projekta vadības un īstenošanas personālam jaunu darba vietu radīšanai vai esošo darba vietu atjaunošanai var paredzēt ne vairāk kā 3 000 euro apmērā vienai darba vietai projekta īstenošanas laikā. Ja personāls ir nodarbināts normālu darba laiku, darba vietas aprīkojuma izmaksas ir attiecināmas 100 procentu apmērā. Ja personāls ir nodarbināts nepilnu darba laiku vai personāla atlīdzībai piemēro daļlaika izmaksu attiecināmības principu, darba vietas aprīkojuma izmaksas ir attiecināmas proporcionāli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Vadlīniju Nr.1.2. "Vadlīnijas attiecināmo izmaksu noteikšanai Eiropas Savienības kohēzijas politikas programmas 2021.-2027.gada plānošanas periodā" 33.punktā noteikto, daļlaika izmaksu attiecināšanas principa gadījumā jāņem vērā darbinieka iesaistes periods projektā pret projekta kopējo īstenošanas ilgumu un daļlaika proporcija darbam projektā. Līdz ar to lūdzam papildināt Ministru kabineta noteikumu apakšpunkta attiecīgo daļu ar nosacījumu, ka jāņem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16.2.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papildinājumi veikti anotācijas sadaļā “Risinājuma apraksts” ietvertajā informācijā, tai skaitā papildinot ar norādi, ka, paredzot darba vietas aprīkojuma izmaksas, tiks ievērots Vadlīniju Nr.1.2. “Vadlīnijas attiecināmo izmaksu noteikšanai Eiropas Savienības kohēzijas politikas programmas 2021.-2027.gada plānošanas periodā” 33. punktā noteiktais, tai skaitā ņemts vērā nodarbinātā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darba vietas aprīkojuma iegādei vai nomai, tai skaitā aprīkojuma uzturēšanai un remontam, finansējuma saņēmēja projekta vadības un īstenošanas personālam jaunu darba vietu radīšanai vai esošo darba vietu atjaunošanai var paredzēt ne vairāk kā 3 000 euro apmērā vienai darba vietai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īstenošanu pārvalda Invaliditātes lietu nacionālā padome, kas iepazīstas ar pasākuma īstenošanas progresu un sniedz ieteikumus pasākuma īstenošanas pilnveidei.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uz kāda tiesiska pamata ir noteikta pasākuma īstenošanas pārvaldība Invaliditātes lietu nacionālā padomei, kāda ir Invaliditātes lietu nacionālā padomes loma noteikumu projekta 20.punktā noteiktā pienākuma izpildē? Papildus lūdzu skaidrot, kam Invaliditātes lietu nacionālā padome sniedz ieteikumus pasākuma īstenošana un kas attiecīgos ieteikumus ievieš.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iebildumā rakstītais, kā arī Invalīdu lietu nacionālās padomes (turpmāk – padome) funkcijas, kuras noteiktas Ministru kabineta 2004. gada 29. jūnija noteikumos Nr. 561 “Invaliditātes lietu nacionālās padomes nolikums” (turpmāk – MK noteikumi Nr. 561). Saskaņā ar MK noteikumu Nr. 561 1. punktā noteikto, padome ir konsultatīva institūcija, kas piedalās personu ar invaliditāti integrācijas politikas izstrādē un īstenošanā. Padome neveic pārvaldības funkcijas.  Ievērojot iepriekš minēto, kā arī, lai neradītu lieku administratīvu slogu, svītrots noteikuma projekta 20. punkts (atbilstoši precizējot punktu numerāciju noteikumu projektā). Vajadzības gadījumā, īstenojot projektu, atbilstoši MK noteikumiem Nr.561, būs iespēja saņemt padomes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izstrādā metodiku par vienotā atbalsta sniegšanu komisijas klientiem invaliditātes noteikšanas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saskaņot informāciju MK noteikumu projekta 13.3. un 22.1. apakšpunktos, lai būtu viennozīmīgi skaidrs, kādas darbības paredzēts īstenot pasākuma ietvaros. Šobrīd 13.3.apakšpunktā norādīts, ka tiks izstrādāts vienots informācijas sniegšanas modelis par pieejamo atbalstu invaliditātes gadījumā, savukārt 22.1.apakšpunktā norādīts, ka tiks izstrādāta metodika par vienotu atbalsta sniegšanu invaliditātes noteikšanas gadījumā. Attiecīgi nepieciešams precizēt, vai pasākuma īstenošanas rezultātā būs izstrādāta vienota pieeja atbalsta sniegšanā vai arī vienota pieeja informācijas sniegšanā par pieejamo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 iepriekš izziņas 6. punktā skaidrotajam, norādām, ka, īstenojot šo noteikumu 22.1., 22.2. un 22.3. apakšpunktos noteiktās apakšdarbības, tiek ieviesta šo noteikumu 13.3. apakšpunktā minētā atbalstāmā darbība, t.i.,  vienotas informācijas sniegšanas modelis, kuru veido  minēto apakšdarbību rezultāti – modelis ietver noteikumu 22.1., 22.2. un 22.3. apakšpunktā norādīto. Informācija ir saskaņota starp noteikumu projekta 13.3. un 22.1.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Nepārprotamībai precizēts noteikumu projekta 13.3.  un 22.1. apakšpunkts, kā arī anotācijas apakšsadaļā “Risinājuma apraksts”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izstrādā metodiku vienotai informācijas sniegšanai par pieejamo atbalstu komisijas klientiem invaliditātes noteikšanas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izstrādā metodiku par vienotā atbalsta sniegšanu komisijas klientiem invaliditātes noteikšanas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13.3.apakšpunktā norādīts, ka paredzēts izstrādāt vienotu </w:t>
            </w:r>
            <w:r w:rsidR="00000000" w:rsidRPr="00000000" w:rsidDel="00000000">
              <w:rPr>
                <w:u w:val="single"/>
                <w:rtl w:val="0"/>
              </w:rPr>
              <w:t xml:space="preserve">informācijas</w:t>
            </w:r>
            <w:r w:rsidR="00000000" w:rsidRPr="00000000" w:rsidDel="00000000">
              <w:rPr>
                <w:rtl w:val="0"/>
              </w:rPr>
              <w:t xml:space="preserve"> sniegšanas modeli par pieejamo atbalstu. Lūdzam saskaņot informāciju MK noteikumu projekta 13.3. un 23.1.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īstenojot noteikumu projekta 23.1., 23.2. un 23.3. apakšpunktā noteikto, tiks nodrošināta noteikumu projekta 13.3. apakšpunktā minētās atbalstāmās darbības īstenošana, t.i., noteikumu projekta 23.1., 23.2. un 23.3. apakšpunkts paskaidro, kas noteikumu projekta 13.3.apakšpunktā minētās darbības ietvaros tiks īstenots. Attiecīgi informācija starp noteikumu projekta 13.3. un 23.1. apakšpunktu ir saskaņota un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izstrādā metodiku vienotai informācijas sniegšanai par pieejamo atbalstu komisijas klientiem invaliditātes noteikšanas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 uzkrāj, uzskaita un iesniedz sadarbības iestādē informāciju par kopējiem tūlītējiem rādītājiem atbilstoši Eiropas Parlamenta un Padomes 2021. gada 24. jūnija Regulas (ES) 2021/1057, ar ko izveido Eiropas Sociālo fondu Plus (ESF+) un atceļ Regulu (ES) Nr. 1296/2013 1. un 2.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25.10. apakšpunktu, ņemot vērā, ka 4.3.6.2. pasākuma sasniedzamajos uzraudzības rādītājos nav noteikti dalībnieki, līdz ar to sadarbības iestādē nav iesniedzama informācija par kopējiem tūlītējiem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25.10.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precizējumiem noteikumu projektā, veikti precizējumi arī anotācijas 5. sadaļā “Tiesību akta projekta atbilstība Latvijas Republikas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anotācijā argumentāciju, skaidrojot, kāds labums sabiedrībai un ieguvums ekonomikai no 4.3.6.2. pasākuma “Atbalsta pasākumi Veselības un darbspēju ekspertīzes ārstu valsts komisijas klientu apkalpošanas efektivitātes un kvalitātes uzlabošanai, speciālistu profesionālo spēju, invaliditātes informatīvās sistēmas procesu un funkcionalitātes pilnveidei” ieguldījumiem, t.i. kādi izvērtējumi veikti pirms investīciju plānošanas - vai ir izvērtēti līdzīgu iepriekšējā ES fondu plānošanas perioda ieguldījumu rezultāti (piemēram, 9.1.4.3. "Invaliditātes ekspertīzes pakalpojuma kvalitātes uzlabošana"), kā arī sekas vai zaudējumi, ja netiks veiktas šādas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noteikumu projekts paredz attiecināt izmaksas, kas radušās pirms MK noteikumu apstiprināšanas, vēršam uzmanību, ka nedrīkst attiecināt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apakšsadaļā “Risinājuma apraksts” norādītajai informācijai, papildināta informācija anotācijas apakšsadaļā “Problēmas apraksts”, skaidrojot, kāds labums sabiedrībai un ieguvums ekonomikai no 4.3.6.2. pasākuma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4.3.6.2. pasākuma īstenošana uzsākta 2022. gadā, pamatojoties uz Informatīvo ziņojumu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 (turpmāk – MKIZ), kas izskatīts Ministru kabineta 2022. gada 19. aprīļa sēdē. Skaidrojam, ka 4.3.6.2. pasākuma ietvaros projekta izmaksas ir attiecināmas no 2022. gada 1. jūnija, jo to paredz  MKIZ, kas nosaka 4.3.6.2. pasākuma projekta nosacījumus pirms MK noteikumu apstiprināšanas. Attiecīgi projekta darbības tiek īstenotas saskaņā ar plānotā projekta laika grafiku un atkarībā no MK noteikumu spēkā stāšanās dienas nav izslēgts, ka kāda no projekta darbībām jau būs īstenota. Ņemot vērā, ka 4.3.6.2. pasākuma īstenošanu regulē gan MKIZ, gan MK noteikumi, nosacījums par pabeigtām projekta darbībām skatāms kontekstā ar abiem minētajiem 4.3.6.2. pasākuma īstenošanu  regulējošiem dokumentiem. T.i., projektā netiks iekļautas darbības, kas pabeigtas pirms MKIZ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sadaļas </w:t>
            </w:r>
            <w:r w:rsidR="00000000" w:rsidRPr="00000000" w:rsidDel="00000000">
              <w:rPr>
                <w:i w:val="1"/>
                <w:rtl w:val="0"/>
              </w:rPr>
              <w:t xml:space="preserve">“1.3. Pašreizējā situācija, problēmas un risinājumi”</w:t>
            </w:r>
            <w:r w:rsidR="00000000" w:rsidRPr="00000000" w:rsidDel="00000000">
              <w:rPr>
                <w:rtl w:val="0"/>
              </w:rPr>
              <w:t xml:space="preserve"> apakšsadaļā </w:t>
            </w:r>
            <w:r w:rsidR="00000000" w:rsidRPr="00000000" w:rsidDel="00000000">
              <w:rPr>
                <w:i w:val="1"/>
                <w:rtl w:val="0"/>
              </w:rPr>
              <w:t xml:space="preserve">“TA projekta vispārīgie jautājumi”</w:t>
            </w:r>
            <w:r w:rsidR="00000000" w:rsidRPr="00000000" w:rsidDel="00000000">
              <w:rPr>
                <w:rtl w:val="0"/>
              </w:rPr>
              <w:t xml:space="preserve">, ka invaliditātes ekspertīzei patērētā laika samazinājums – līdz 22,92 dienām ir programmas rezultāta rādītājs nevis nacionālais rezultāta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informāciju šīs izziņas 1. punktā, tai skaitā anotācija apakšsadaļā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izpratnei par to, vai aktivitātes ietvaros sniegtais atbalsts ir/nav saistīts ar atbalstu saimnieciskās darbības veikšanai, lūdzam papildināt anotācijas 1.3.sadaļu ar informāciju, piemēram, vai atbalsta saņēmējs, ir /nav atbilstošs Eiropas Komisijas paziņojuma par Līguma par Eiropas Savienības darbību 107. panta 1. punktā minēto valsts atbalsta jēdzienu (2016/C 262/01) 2.2..sadaļā norādītajam par valsts varas īstenošanu un šo subjektu var uzskatīt par tādu, kurš rīkojas, īstenojot valsts varu, ja attiecīgā darbība pieder pie valsts galvenajām funkcijām (un kurā normatīvajā aktā tās noteiktas), vai pēc savas būtības, mērķa un tai piemērojamajiem noteikumiem ir saistīta ar šīm funkcijām, tādejādi secinot, ka atbalsts tiks piešķirts ar saimniecisko darbību nesaistītām aktivitātēm un tas nav jāvērtē komercdarbības atbalsta kontroles kontekstā. Vai alternatīvi, ja atbalsts plānots darbībām, kas tiek veiktas kā daļa no saimnieciskās darbības, piemēram, valsts apmaksātie veselības aprūpes pakalpojumi, skaidrot, vai tiks piemērots, piemēram, Komisijas 2011. gada 20. decembra lēmums (2012/21/ES) par LESD 106.panta 2.punkta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saņēmēja (komisijas) līmenī nav identificētas komercdarbības atbalsta pazīmes, jo saskaņā ar Ministru kabineta 2011.gada 26. aprīļa noteikumiem Nr. 315 “Veselības un darbspēju ekspertīzes ārstu valsts komisijas nolikums” komisija ir tiešās valsts pārvaldes iestāde. Ievērojot minēto, komisija 4.3.6.2. pasākumu īsteno valsts funkciju ietvaros, tai skaitā atbilstoši Invaliditātes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izpratnei par to, ka 4.3.6.2. pasākuma ietvaros sniegtais atbalsts nav komercdarbības atbalsts, papildināta  informācija anotācijas apakšsadaļā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stājies spēkā likums “Par valsts budžetu 2023. gadam un budžeta ietvaru 2023., 2024. un 2025. gadam”, precizējama anotācijas 3.sadaļas 6.punktā norādītā informācija par 2023.gadu. Vienlaikus atbilstoši minētajam likumam Labklājības ministrijas pamatbudžeta apakšprogrammā 63.08.00 “Eiropas Sociālā fonda Plus (ESF+) projektu un pasākumu īstenošana (2021-2027)” projektam “Veselības un darbspēju ekspertīzes ārstu valsts komisijas darbības efektivitātes un kvalitātes uzlabošana” plānots finansējums arī 2024.gadam un 2025.gadam, attiecīgi nepieciešams papildināt anotācijas 3.sadaļas 6.punktu un svītrot MK sēdes protokollēmuma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“Tiesību akta projekta ietekme uz valsts budžetu un pašvaldību budžetiem” un Ministru  kabineta protokollēmumā izslēgts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punktu “Cita informācija”, norādot nepieciešamās darbības projekta uzturēšanai un to indikatīvās izmaksas, ņemot vērā, ka MK 17.01.2023. noteikumu Nr.15 “Maksimāli pieļaujamā valsts budžeta izdevumu kopapjoma un katrai ministrijai un citai centrālajai valsts iestādei paredzētā izdevumu kopējā apjoma noteikšanas kārtība vidējam termiņam” 9.4.apakšpunkts  attiecas uz izdevumiem pabeigto Eiropas Savienības politiku instrumentu un pārējās ārvalstu finanšu palīdzības līdzfinansēto projektu uzturēšanai, ja projekts vai tā posms ir pilnībā pabeigts, nodots ekspluatācijā un par to ir veikts galīgā norēķina maksājums, un tas turpmāk jāfinansē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sadaļā “Tiesību akta projekta ietekme uz valsts budžetu un pašvaldību budžetiem” ietvertā informācija, norādot informāciju par projekta darbību uzturēšanu pēc projekta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anotāciju atbilstoši Ministru kabineta 2009. gada 7. aprīļa noteikumu Nr. 300 „Ministru kabineta kārtības rullis” 3. punktam, kas noteic, ka Ministru kabineta noteikumu projektam pievieno anotāciju, kurā aizpildīta vismaz sadaļa par tiesību akta projekta nepieciešamību, tas ir, anotācijas I. sadaļa, bet pārējās anotācijas sadaļas aizpilda, ja tiesību akta projekts skar attiecīgajā anotācijas sadaļā minētos jautājumus. Norādām, ka Tieslietu ministrijai nav iespējams precīzi izvērtēt, kuras noteikumu projekta normas ir pārņemtas atbilstoši attiecīgo Eiropas Savienības tiesību aktu normām. Turklāt svarīgi pie noteikumu projekta norādīt, kāpēc papildu Eiropas Savienības normām noteikumu projektā ir ietvertas normas no nacionālajiem tiesību aktiem. Lai noteikumu projekts nebūtu pretrunā Eiropas Savienības prasībām, skaidri jānorāda juridiskais pamats, kas ļauj dalībvalstīm pieņemt papildu normas. Ņemot vērā minēto, Tieslietu ministrija varēs sniegt precīzu izvērtējumu par noteikumu projekta atbilstību Eiropas Savienības tiesību aktiem pēc anotācijas precizēšanas.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sadaļā “Tiesību akta projekta atbilstība Latvijas Republikas starptautiskajām saistībām”, tai skaitā precizējot atsauces uz noteikumu projekta punktiem un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nacionālais iznākuma rādītājs – pilnveidoto informācijas sistēmu skaits – 1 (projekta līmeņa rādītājs);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4.2.2. apakšpunktā svītrot iekavas "(projekta līmeņa rādītājs)", ņemot vērā panākto vienošanos par rādītāju apzīmējumu vadlīniju 1.4. "Vadlīnijas Ministru kabineta noteikumu par specifiskā atbalsta mērķa īstenošanu izstrādei Eiropas Savienības fondu 2021.—2027. gada plānošanas periodā"' projekta saskaņošanas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4.2.2.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nacionālais iznākuma rādītājs – pilnveidoto informācijas sistēmu skaits – 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Pasākums veido sinerģiju ar darbības programmas “Izaugsme un nodarbinātība” 2.2.1. specifiskā atbalsta mērķa “Nodrošināt publisko datu atkalizmantošanas pieaugumu un efektīvu publiskās pārvaldes un privātā sektora mijiedarbību” 2.2.1.1. pasākumu “Centralizētu publiskās pārvaldes IKT platformu izveide, publiskās pārvaldes procesu optimizēšana un attīstība” (turpmāk – 2.2.1.1. pasākums), šo noteikumu 12.2. apakšpunktā minētās atbalstāmās darbības ietvaros papildinot 2.2.1.1. pasākumā izstrādātās Invaliditātes informatīvās sistēmas (turpmāk – informatīvā sistēma) analītisko funkcionalitāti, tai skaitā veicot informatīvās sistēmas pilnveidojumus atbilstoši plānotajām izmaiņām normatīvajos aktos par bērnu invaliditātes noteikšanas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6.punktā precizēt iekļauto atsauci no 12.2. apakšpunkta uz 13.2.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veikts redakcionāls precizējums atbilstoši priekšlikumā norādītajam, t.i., atsauce uz šo noteikumu projekta 12.2. apakšpunktu aizstāta ar atsauci uz šo noteikumu projekta 13.2.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Pasākums veido sinerģiju ar darbības programmas “Izaugsme un nodarbinātība” 2.2.1. specifiskā atbalsta mērķa “Nodrošināt publisko datu atkalizmantošanas pieaugumu un efektīvu publiskās pārvaldes un privātā sektora mijiedarbību” 2.2.1.1. pasākumu “Centralizētu publiskās pārvaldes IKT platformu izveide, publiskās pārvaldes procesu optimizēšana un attīstība” (turpmāk – 2.2.1.1. pasākums), šo noteikumu 13.2. apakšpunktā minētās atbalstāmās darbības ietvaros papildinot 2.2.1.1. pasākumā izstrādātās Invaliditātes informatīvās sistēmas (turpmāk – informatīvā sistēma) analītisko funkcionalitāti, tai skaitā veicot informatīvās sistēmas pilnveidojumus atbilstoši plānotajām izmaiņām normatīvajos aktos par bērnu invaliditātes noteikšanas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 šādas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ātrāk uzsākamo specifisko atbalsta mērķu ietvaros bija plānotas neparedzētās izmaksas 3% apmērā no tiešajām izmaksām, kas tika iekļautas arī plānotā projekta iesniegumā. Lūdzam izvērtēt iespēju papildināt šo MKN punktu ar apakšpunktu par neparedzētajām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neparedzēto izmaksu izmantošanas nosacījumus (Vadlīniju attiecināmo izmaksu noteikšanai Eiropas Savienības kohēzijas politikas programmas 2021.-2027.gada plānošanas periodā 12.1. apakšpunkts), uzskatām, ka šādas izmaksas projektā nav nepieciešamas. Ja būs nepieciešams pārskatīt izmaksu plānojumu, finansējuma saņēmējs varēs ierosināt attiecīgus projekta grozījumus un veikt izmaksu pārdali starp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 šādas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iekšzemes komandējumu un darba braucienu izmaksas finansējuma saņēmēja projekta vadības un īstenošanas personālam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 minēto atbalstāmo darbību īstenošanai.  Iekšzemes komandējumu un darba braucienu izmaksām piemēro vadošās iestādes metodikas par vienas vienības izmaksu standarta likmes aprēķinu un piemērošanu 1 km izmaksām un iekšzemes komandējumu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lietot pilnos metodiku nosaukumus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ieteikumiem citu specifisko atbalsta mērķu vai to pasākumu īstenošanas noteikumos, metodiku nosaukumi minēti tikai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iekšzemes komandējumu un darba braucienu izmaksas finansējuma saņēmēja projekta vadības un īstenošanas personālam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 minētās atbalstāmās darbības īstenošanai.  Iekšzemes komandējumu un darba braucienu izmaksām piemēro vadošās iestādes metodikas par vienas vienības izmaksu standarta likmes aprēķinu un piemērošanu 1 km izmaksām un iekšzemes komandējumu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darba vietas aprīkojuma iegādei vai nomai, tai skaitā aprīkojuma uzturēšanai un remontam, finansējuma saņēmēja projekta vadības un īstenošanas personālam jaunu darba vietu radīšanai vai esošo darba vietu atjaunošanai var paredzēt ne vairāk kā 3 000 euro apmērā vienai darba vietai projekta īstenošanas laikā. Ja personāls ir nodarbināts normālu darba laiku, darba vietas aprīkojuma izmaksas ir attiecināmas 100 procentu apmērā. Ja personāls ir nodarbināts nepilnu darba laiku vai personāla atlīdzībai piemēro daļlaika izmaksu attiecināmības principu, darba vietas aprīkojuma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16.2. apakšpunkta pēdējā teikuma redakciju un lūdzam arī attiecīgi anotācijas apakšsadaļas "Tiešās attiecināmās izmaksas ietver šādas galvenās izmaksu pozīcijas:" 5.punktā precizēt informāciju saistībā ar darba vietas aprīkojuma izmaksu attiecināšanu, ņemot vērā, ka saskaņā ar Finanšu ministrijas vadlīniju Nr.1.2. “</w:t>
            </w:r>
            <w:r w:rsidR="00000000" w:rsidRPr="00000000" w:rsidDel="00000000">
              <w:rPr>
                <w:i w:val="1"/>
                <w:rtl w:val="0"/>
              </w:rPr>
              <w:t xml:space="preserve">Vadlīnijas attiecināmo izmaksu noteikšanai Eiropas Savienības kohēzijas politikas programmas 2021.-2027.gada plānošanas periodā</w:t>
            </w:r>
            <w:r w:rsidR="00000000" w:rsidRPr="00000000" w:rsidDel="00000000">
              <w:rPr>
                <w:rtl w:val="0"/>
              </w:rPr>
              <w:t xml:space="preserve">” 33.punktu, nosacījums “proporcionāli nodarbinātā iesaistes periodam projektā” attiecas tikai uz daļlaika noslodzi - uz nepilnu darba laiku tas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16.2. apakšpunkts un anotācijas apakšsadaļā “Risinājuma apraksts” ietvertā informācija par darba vietu izmaksu attiecināšanu.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darba vietas aprīkojuma iegādei vai nomai, tai skaitā aprīkojuma uzturēšanai un remontam, finansējuma saņēmēja projekta vadības un īstenošanas personālam jaunu darba vietu radīšanai vai esošo darba vietu atjaunošanai var paredzēt ne vairāk kā 3 000 euro apmērā vienai darba vietai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Pievienotās vērtības nodokļa izmaksas atbilstoši 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un atbilstoši normatīvajam aktam par kārtību, kādā ES fondu vadībā iesaistītās institūcijas nodrošina šo fondu ieviešanu 2021. – 2027. gada plānošanas periodā (turpmāk – Regula Nr. 2021/1060) 64. panta 1. punkta “c” apakšpunkta nosacījumiem 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minētajām izmaksu pozīcijām ir attiecināmas, ja tās nav atgūstamas atbilstoši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2021.-2027.gada plānošanas periodā projektiem, kuru kopējās izmaksas ir mazākas par 5 milj. EUR un nav iesaistīts valsts atbalsts (t.sk. de minimis), ir iespējams PVN līdzekļus uzreiz attiecināt no Eiropas Savienības fonda finansējuma. Taču šādā gadījumā anotācijā ir jāpapildina ar skaidrojumu, ka attiecībā uz PVN tiks nodrošināts dubultā finansējuma novēršanas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apakšsdaļā “Risinājuma apraksts” ietvertā informācija par dubultfinansēšanas riska novēršanu papildināta ar priekšlikumā norādīto informāciju par dubultfinansēšanas riska novēršanu arī pievienotās vērtības nodokļa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precizējot noteikumu projekta 18. punkta redakciju, novērsta redakcionāla neprecizitāte, t.i., izslēgta atsauce uz atbilstību normatīvajam aktam par kārtību, kādā ES fondu vadībā iesaistītās institūcijas nodrošina šo fondu ieviešanu 2021. – 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Pievienotās vērtības nodokļa izmaksas atbilstoši 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 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minētajām izmaksu pozīcijām ir attiecināmas, ja tās nav atgūstamas atbilstoši normatīvajiem aktiem nodokļu politikas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pilnveido informatīvās sistēmas analītisko funkcionalitāti, tai skaitā izveido datu analītikas moduli, ievērojot noteiktos digitālās piekļūstamības standartus;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nav nepieciešams atsaukties uz digitālās piekļūstamības standartiem - šāda norāde jau iekļauta nākamajā noteikumu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 informatīvās sistēmas analītisko funkcionalitāti, tajā skaitā izveido datu analītikas moduli.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21.4.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pilnveido informatīvās sistēmas analītisko funkcionalitāti, tai skaitā izveido datu analītikas moduli;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pilnveido informatīvās sistēmas analītisko funkcionalitāti, tai skaitā izveido datu analītikas moduli;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Papildināms, ka moduļa funkcionalitāte nodrošina datu padošanu uz Atvērto datu portālu.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 informatīvās sistēmas analītisko funkcionalitāti, tai skaitā izveido datu analītikas moduli, kurā nodrošināta iespēja datus padot uz Atvērto datu portālu;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kā arī sazinoties ar priekšlikuma sniedzēju, precizēta noteikumu projekta 22.4.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Ministru kabineta 2016. gada 26. jūlija noteikumu Nr. 490 “Labklājības informācijas sistēmas (LabIS) noteikumi” 9.6. apakšpunktu un Ministru kabineta 2022.gada 6. decembra noteikumu Nr. 759 “Invaliditātes informatīvās sistēmas noteikumi” 14.5. apakšpunktu Invaliditātes informatīvajā sistēmā uzkrātie dati tiek nodoti Labklājības informācijas sistēmai (LabIS), kur vienoti tiek veidotas anonimizētas datu kopas, kas tiek padotas Latvijas Atvērto datu portālam. Šajā informācijas sistēmā tiek sagatavoti oficiālās statistikas dati, kurus izmanto komisija gada pārskatiem un LM nodod Centrālai statistikas pārvaldei. Projekta ietvaros plānoto datu analītikas moduli paredzēts pilnveidot/izstrādāt, lai komisijai pēc nepieciešamības būtu iespēja operatīvi izgūt Invaliditātes informatīvajā sistēmā uzkrātos strukturētos datus dažādos griezumos, kā arī nepieciešams papildināt funkcionalitāti ar analītiskiem pārskatiem par apstrīdētajiem administratīvajiem aktiem un to izskatīšanas rezultātiem, t.sk. struktūrvienību griezumā. Izvērtējot esošo situāciju un ņemot vērā lietderības apsvērumus, tuvākajā laikā līdzšinējo kārtību nav plānots mainīt, līdz ar to priekšlikums netiek atbalstīts.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22.4. apakšpunkts papildināts ar normu, ka analītikas funkcionalitātes pilnveidošanā ievēro noteiktos digitālās piekļūstamības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pilnveido informatīvās sistēmas analītisko funkcionalitāti, tai skaitā izveido datu analītikas moduli;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veic informatīvās sistēmas pilnveidošanu atbilstoši normatīvajam regulējumam par bērnu invaliditātes noteikšanas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Papildināms par atbilstību digitālās piekļūstamības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Eiropas Parlamenta un Padomes Direktīvas (ES) 2016/2102 (2016. gada 26. oktobris) par publiskā sektora struktūru tīmekļvietņu un mobilo lietotņu piekļūstamību preambulas 34. punktu un 1. panta trešās daļas g) apakšpunktu ārtīklu un iekštīklu saturam jānodrošina piekļūstamība to būtiskas pārbūves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 informatīvās sistēmas pilnveidošanu atbilstoši normatīvajam regulējumam par bērnu invaliditātes noteikšanas kārtību un atbilstoši noteiktajiem digitālās piekļūstamības standartiem;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22.5.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lai nodrošinātu komisijas funkciju izpildi atbilstoši plānotajiem grozījumiem Ministru kabineta 2014.gada 23. decembra  noteikumos Nr. 805 “Prognozējamas invaliditātes, invaliditātes un darbspēju zaudējuma noteikšanas un invaliditāti apliecinoša dokumenta izsniegšanas noteikumi” invaliditātes noteikšanā bērniem, šī projekta ietvaros nav plānots būtiski pārbūvēt Invaliditātes informatīvo sistēmu, bet gan papildināt ar funkcionalitāti tādā mērā, lai tiktu nodrošināta jaunu datu ievadīšana, uzkrāšana un aprite starp institūcijām ar valsts informācijas sistēmu savietotāja palīdzību vai, izmantojot tiešo saskarni ar citām valsts un pašvaldību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veic informatīvās sistēmas pilnveidošanu atbilstoši normatīvajam regulējumam par bērnu invaliditātes noteikšanas kārtību, ievērojot noteiktos digitālās piekļūstamības standartus;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 personas datu apstrādi veic saskaņā ar Eiropas Parlamenta un Padomes 2016. gada 27. aprīļa regulu (ES) 2016/679 par fizisko personu aizsardzību attiecībā uz personas datu apstrādi un šādu datu brīvu apriti (Vispārīgā datu aizsardzības regula) un ar ko atcelta Direktīva 95/46/EK;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atsauci uz attiecīgo regulu, lūdzam veikt attiecīgus labojumus saskaņā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 personas datu apstrādi veic saskaņā ar Eiropas Parlamenta un Padomes 2016. gada 27. aprīļa Regulu (ES)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25.9.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personas datu apstrādi veic saskaņā ar Eiropas Parlamenta un Padomes 2016. gada 27. aprīļa Regulu (ES) 2016/679 par fizisku personu aizsardzību attiecībā uz personas datu apstrādi un šādu datu brīvu apriti un ar ko atceļ Direktīvu 95/46/EK (Vispārīgā datu aizsardzības regula).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īstenošanas vieta ir Latvijas Republikas teritorija.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īstenots Latvijas Republikas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punkta mērķis ir  noteikt projekta īstenošanas vietu. Šāds formulējums “Projekta īstenošanas vieta ir Latvijas Republikas teritorija” vienoti tiek lietots arī citos nozares specifiskā atbalsta mērķa vai to pasākumu īstenošanas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īstenošanas vieta ir Latvijas Republikas teritorija.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rindkopu "4.3.6.2. pasākuma ietvaros paredzētas tiešās attiecināmās un netiešās attiecināmās izmaksas" papildināt ar norādi:  "Gadījumā, ja personāla izmaksu metodika netiks apstiprināta līdz projekta iesnieguma atlases uzsākšanai, tad projekta iesnieguma vērtēšanas laikā projekta personāla izmaksas tiks vērtētas atbilstoši Ministru kabineta noteikumu 15.1.1.apakšpunktā noteiktajam izmaksu principam arī gadījumā, ja personāla izmaksu metodika stāsies spēkā projekta iesnieguma vērtēšanas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sagatavošanas laikā panākta vienošanās ar priekšlikuma sniezēju, ka  informācija tiks ietverta projektu iesnieguma atlases 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anotācijā ietverto teikumu “Pēc personāla izmaksu metodikas apstiprināšanas, finansējuma saņēmēja projekta vadības un īstenošanas personāla atlīdzības izmaksas, tai skaitā veselības apdrošināšanas izmaksas un redzes korekcijas līdzekļu kompensācijas izmaksas, piemērojot personāla izmaksu metodikā noteikto likmi tiešajām attiecināmajām izmaksām, kas nav tiešās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personāla izmaksu metodikas apstiprināšanas, finansējuma saņēmēja projekta vadības un īstenošanas personāla atlīdzības izmaksas, tai skaitā veselības apdrošināšanas izmaksas un redzes korekcijas līdzekļu kompensācijas izmaksas, </w:t>
            </w:r>
            <w:r w:rsidR="00000000" w:rsidRPr="00000000" w:rsidDel="00000000">
              <w:rPr>
                <w:b w:val="1"/>
                <w:rtl w:val="0"/>
              </w:rPr>
              <w:t xml:space="preserve">segs</w:t>
            </w:r>
            <w:r w:rsidR="00000000" w:rsidRPr="00000000" w:rsidDel="00000000">
              <w:rPr>
                <w:rtl w:val="0"/>
              </w:rPr>
              <w:t xml:space="preserve">, piemērojot personāla izmaksu metodikā noteikto likmi, </w:t>
            </w:r>
            <w:r w:rsidR="00000000" w:rsidRPr="00000000" w:rsidDel="00000000">
              <w:rPr>
                <w:b w:val="1"/>
                <w:rtl w:val="0"/>
              </w:rPr>
              <w:t xml:space="preserve">ko aprēķina no pārējām</w:t>
            </w:r>
            <w:r w:rsidR="00000000" w:rsidRPr="00000000" w:rsidDel="00000000">
              <w:rPr>
                <w:rtl w:val="0"/>
              </w:rPr>
              <w:t xml:space="preserve"> tiešajām attiecināmajām izmaksām, kas nav tiešās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apakšsadaļā “Risinājuma apraksts” ietvertā informācija precizēta, norādot, ka pēc personāla izmaksu metodikas apstiprināšanas, finansējuma saņēmēja projekta vadības un īstenošanas personāla atlīdzības izmaksas, tai skaitā veselības apdrošināšanas izmaksas un redzes korekcijas līdzekļu kompensācijas izmaksas, segs, piemērojot personāla izmaksu metodikā noteikto likmi, ko aprēķina no pārējām tiešajām attiecināmajām izmaksām, kas nav tiešās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1.3.sadaļas punktā “Pašreizējā situācija” norādīto personu ar invaliditāti skaitu 2021.gada beigās, ņemot vērā, ka, saskaitot vīriešus ar sievietēm, veidojas 193 282 personas nevis 193 292.  Vienlaikus precizējams arī bērnu ar invaliditāti skaits 2021.gada decembrī, ņemot vērā, ka, saskaitot meitenes ar zēniem, veidojas 8 670 bērni nevis 8 746.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informācija anotācijas apakšsadaļā “Pašreizējā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apakšsadaļas </w:t>
            </w:r>
            <w:r w:rsidR="00000000" w:rsidRPr="00000000" w:rsidDel="00000000">
              <w:rPr>
                <w:i w:val="1"/>
                <w:rtl w:val="0"/>
              </w:rPr>
              <w:t xml:space="preserve">"TA projektā paredzētās atbalstāmās darbības, to īstenošanas pamatnosacījumi un indikatīvās izmaksas:" </w:t>
            </w:r>
            <w:r w:rsidR="00000000" w:rsidRPr="00000000" w:rsidDel="00000000">
              <w:rPr>
                <w:rtl w:val="0"/>
              </w:rPr>
              <w:t xml:space="preserve">3.punkta aprakstu ar MK noteikumu projekta 23.3. apakšpunktā minēto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anotācijas apakšsadaļā “Risinājuma apraksts” ietvertā informācija, to papildinot ar noteikumu projekta 23.3. apakšpunktā norādīto, tomēr vēlamies atzīmēt, ka noteikumu projekta dublēšana anotācijā padara anotāciju apjomīgu un nepārskatāmu.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apakšsadaļas "</w:t>
            </w:r>
            <w:r w:rsidR="00000000" w:rsidRPr="00000000" w:rsidDel="00000000">
              <w:rPr>
                <w:i w:val="1"/>
                <w:rtl w:val="0"/>
              </w:rPr>
              <w:t xml:space="preserve">4.3.6.2. pasākuma ietvaros līdz 2029. gada 31. decembrim sasniedzami šādi uzraudzības rādītāji</w:t>
            </w:r>
            <w:r w:rsidR="00000000" w:rsidRPr="00000000" w:rsidDel="00000000">
              <w:rPr>
                <w:rtl w:val="0"/>
              </w:rPr>
              <w:t xml:space="preserve">:" 3.punktā precizēt gadu, līdz kuram tiek prognozēts samazināt iesnieguma par invaliditātes eskpertīzi izskatīšanas ilgumu. Šī brīža redakcijā norādīts 20214.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 anotācijas apakšsadaļā “Risinājuma apraksts”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par starpposma vērtību, kas jāsasniedz līdz 2024.gada 31.decembrim, jo atbilstoši Eiropas Savienības kohēzijas politikas programmai 2021.–2027. gadam un saskaņā ar minētajā programmā iekļauto specifisko atbalsta mērķu rādītāju aprakstu ir noteikta starpposma vērtība uz 31.12.2024. un starpposma vērtības aprēķinā tiek norādīts: "Starpposma vērtība noteikta, pieņemot,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pasākumā - rādītājs tiks uzskatīts par sasniegtu, kad tiks apstiprināts projekta iesniegums, noslēgts līgums par projekta īstenošanu par atbalsta pasākumiem VDEĀVK klientu apkalpošanas efektivitātes un kvalitātes uzlabošanai, speciālistu profesionālo spēju, invaliditātes informatīvās sistēmas procesu un funkcionalitātes pilnveidei."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punkts un informācija anotācijas apakšsadaļā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apakšnodaļas "TA projektā paredzētās atbalstāmās darbības, to īstenošanas pamatnosacījumi un indikatīvās izmaksas:" 5).punktā norādīt Regulas Nr. 2021/1060 pilno nosaukumu un pieņemšanas datumu, jo iepriekš netika atrunāts Regulas saīsinājums. Papildus lūdzam papildināt 5) punktu ar informāciju, ka publicitātes prasības tiks ievērotas atbilstoši normatīvajiem aktiem, kas nosaka kārtību, kādā Eiropas Savienības fondu vadībā iesaistītās institūcijas nodrošina šo fondu ieviešanu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apakšsadaļā “Risinājuma apraksts”, norādot regulas pilno nosaukumu un informāciju, ka publicitātes prasības tiks ievērotas atbilstoši normatīvajiem aktiem, kas nosaka kārtību, kādā Eiropas Savienības fondu vadībā iesaistītās institūcijas nodrošina šo fondu ieviešanu 2021.–2027.gada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apakšsadaļas "TA projekta vispārīgie jautājumi" septīto rindkopu, ka, lai arī projekta iesniegumā varēs paredzēt citu projekta darbības termiņu, bet tas nepārsniegs 2029.gad 31.decembri.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apakšsadaļā “Risinājuma apraksts” ietvertā informācija, norādot, ka projekta iesniegumā var paredzēt citu projekta darbības termiņu, bet tas nepārsniegs 2029.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norādot tajā Invaliditātes lietu nacionālo padomi un papildus atrunāt, ka Veselības un darbspēju ekspertīzes ārstu valsts komisija ir finansējuma seņēmējs, ņemot vērā noteikumu projektā un anotācijas 1.3.apakšsadaļā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Eiropas Savienības kohēzijas politikas programmas 2021. – 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(turpmāk – 4.3.6.2. pasākums)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protokollēmuma 3. punktu, ņemot vērā, ka tas pēc būtības dublē protokollēmuma 1. punktu, ar kuru tiek pieņemts noteikumu projekts par 4.3.6.2. pasākuma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protokollēmuma 3. punkts un atbilstoši šīs izziņas 11. punktā norādītajam iebildumam, svītrots arī protokollēmuma 4. punkts. Papildus – svītrots arī protokollēmuma 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23-TA-73</w:t>
    </w:r>
    <w:r>
      <w:br/>
    </w:r>
    <w:r w:rsidR="00000000" w:rsidRPr="00000000" w:rsidDel="00000000">
      <w:rPr>
        <w:rtl w:val="0"/>
      </w:rPr>
      <w:t xml:space="preserve">27.06.2023. 12.23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23-TA-73</w:t>
    </w:r>
    <w:r>
      <w:br/>
    </w:r>
    <w:r w:rsidR="00000000" w:rsidRPr="00000000" w:rsidDel="00000000">
      <w:rPr>
        <w:rtl w:val="0"/>
      </w:rPr>
      <w:t xml:space="preserve">27.06.2023. 12.23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Izziņa_23-TA-73.docx</dc:title>
</cp:coreProperties>
</file>

<file path=docProps/custom.xml><?xml version="1.0" encoding="utf-8"?>
<Properties xmlns="http://schemas.openxmlformats.org/officeDocument/2006/custom-properties" xmlns:vt="http://schemas.openxmlformats.org/officeDocument/2006/docPropsVTypes"/>
</file>