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24-TA-3240: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veterināro zāļu kvalitātes kontroles oficiālo laboratoriju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veterināro zāļu kvalitātes kontroles oficiālo laboratoriju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IV sadaļā attiecībā uz sniegto informāciju par Zāļu valsts aģentūras izmaksām un nepieciešamo finansējumu oficiālās laboratorijas uzdevumus veterināro zāļu jomā uzdevumu veikšanai, papildināt ar skaidrojumu, ka sniegtā informācija sniegta kā alternatīvais variants, bet netiek piedāvāta turpmākam atbalstam, ņemot vērā, ka BIOR tiek noteikts kā veterināro zāļu kvalitātes kontroles oficiālās laboratorijas uzdevumu īstenotājs.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20. punkts papildināts ar jaunu rindkopu šādā redakcijā:  "Informācija par ZVA nepieciešamajiem resursiem un finansējumu ir sniegta kā alternatīvais variants, izvērtējot oficiālās laboratorijas uzdevumu izpildes iespējas. Netiek piedāvāts tālākai izvērtēšanai, jo BIOR pildīs oficiālās laboratorijas uzdevumus esošo budžeta līdzekļu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veterināro zāļu kvalitātes kontroles oficiālo laboratoriju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ziņojuma IV sadaļā norādīto, ka finansējums izmaksu segšanai BIOR veterināro zāļu kvalitātes kontroles oficiālās laboratorijas uzdevumu īstenošanai tiks nodrošināts no Zemkopības ministrijas budžeta apakšprogrammā 70.06.00 “Izdevumi citu Eiropas Savienības politiku instrumentu projektu un pasākumu īstenošanai” plānotā finansējuma pasākumam “Dzīvnieku infekcijas slimību profilakses un apkarošanas, mikroorganismu rezistences uzraudzības, kā arī pārtikas produktu un dzīvnieku barības nekaitīguma un kvalitātes nodrošināšanas pasākumi”, lūdzam ziņojumā skaidrot, kā šīs jaunās izmaksas atbilst minētā pasākuma mērķim. Vēršam uzmanību, ka finansējums Zemkopības ministrijas budžeta apakšprogrammā 70.06.00 “Izdevumi citu Eiropas Savienības politiku instrumentu projektu un pasākumu īstenošanai” paredzēts kā valsts budžeta līdzfinansējums pasākumiem, kas tiek līdzfinansēti no Eiropas Savienības fondu finansējuma, kā arī šajā apakšprogrammā finansējums uzraudzības pasākumu dzīvnieku veselības un pārtikas un dzīvnieku barības nekaitīguma jomā tika piešķirts saskaņā ar Ministru kabineta 18.08.2020. sēdes protokola Nr.49 46.§ 25. punktā noteikto, turklāt ar augstu valsts budžeta līdzfinansējuma apmēru (vairāk kā 60% no kopējām izmaksām), attiecīgi lūdzam skaidrot, kā iniciatīva par veterināro zāļu kvalitātes kontroles oficiālās laboratorijas uzdevumu izpildi atbilst nosacījumam par Eiropas Savienības fondu līdzfinansētu pasākumu.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pamatojumu minētās apakšprogrammas finansējuma izmantošanai nav iespējams sniegt, tad lūdzam pārskatīt un piedāvāt citu risinājumu Zemkopības ministrijas budžeta līdzekļu ietvaros, vērtējot pamatfunkciju īstenošanai paredzēto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21. punkta 1. un 2.apakšpunkts, paredzot, ka "BIOR nepieciešamo finansējumu veterināro zāļu kvalitātes kontrolei un riska zinātniskajai novērtēšanai 54 900 eiro apmērā 2025. gadā un 38 620 eiro apmērā 2026. gadā un turpmākajos gados ZM nodrošinās esošo budžeta līdzekļu ietvaros no valsts budžeta apakšprogrammas 20.02.00 “Riska zinātniskā novērtēšana un references laboratorijas funkciju veikšana dzīvnieku veselības, pārtikas un dzīvnieku barības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informatīvā ziņojuma  13. punkts ar jaunu 3. apakšpunktu un  17. punkts ar noslēguma rindkopu.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Veterinārajām zālēm, ko lieto dzīvnieku ārstēšanai un infekcijas slimību profilaksei un ierobežošanai, ir jāatbilst regulas 2019/6 prasībām attiecībā uz laišanu tirgū, ražošanu, izplatīšanu, lietošanu un kontroli. Veterināro zāļu, tostarp, vakcīnu, lietošana dzīvnieku infekcijas slimību profilaksē un kontrolē ir reglamentēta arī Eiropas Parlamenta un Padomes 2016. gada 9. marta Regulā (ES) 2016/429 par pārnēsājamām dzīvnieku slimībām un ar ko groza un atceļ konkrētus aktus dzīvnieku veselības jomā (Dzīvnieku veselības tiesību akts) un tās pakārtotie normatīvie akti  paredz, ka dalībvalstīm ir jāizvērtē ar veterinārajām zālēm, tostarp, vakcīnām saistītus riskus. Kvalitātes prasībām neatbilstošu  veterināro zāļu, tostarp, vakcīnu, izmantošana var radīt dzīvnieku infekcijas tālākas izplatības draudus un mazināt infekciju kontroles pasākumu efektivitāti, kas, savukārt, rada apdraudējumu dzīvnieku veselībai, papildu finansiālo slogu dzīvnieku īpašniekam un var radīt papildu finansiālo slogu valsts budžetam. Ņemot vērā, ka  veterināro zāļu, tostarp, vakcīnu kvalitātes oficiālās kontroles nodrošināšana ir dalībvalstu pienākums, Zemkopības ministrija piedāvā veterināro zāļu oficiālās laboratorijas uzdevumu izpildi, tostarp, veterināro zāļu risku novērtēšanu, finansēt esošo budžeta līdzekļu ietvaros no valsts budžeta apakšprogrammas 20.02.00.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Oficiālajai  laboratorijai ir jāsniedz atbalsts valsts kompetentajai iestādei veterināro zāļu kvalitātes monitoringa programmas sagatavošanā un izpildē, kas ietver veterināro zāļu riska kritēriju metodoloģiju, kā arī riska novērtēšanu.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BIOR oficiālās laboratorijas uzdevumu izpildei Latvijā prasa vismazāk finanšu resursus, ka arī jau ilgstoši sadarbojas ar PVD, nodrošinot valsts uzraudzību un kontroli dzīvnieku veselības, pārtikas drošuma un sabiedrības veselības jomā, tostarp, veicot zāļu atliekvielu kontroli, mikroorganismu rezistences pret antimikrobiālajām zālēm jeb AMR kontroli  u.c.. Veterinārās zāles ir ļoti nozīmīgas sabiedrības veselības nodrošināšanai, jo pārtikas produktus (piens, gaļa, olas, medus) iegūstot no dzīvniekiem, kam lietotas zāles, pārtikā saglabājas zāļu atliekvielas, savukārt neatbilstošas antimikrobiālās zāles var veicināt AMR attīstību. Tādēļ kvalitatīvas, prasībām atbilstošas veterinārās zāles ietekmē ne tikai dzīvnieku veselību, bet arī pārtikas drošumu, sabiedrības veselību un vidi, ņemot vērā "Viena veselība" principu.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Veterināro zāļu paraugus BIOR oficiālajai kvalitātes kontrolei varēs iesniegt arī citu valstu kompetentās iestādes un citas fiziskas un juridiskas personas (piemēram, tirdzniecības atļaujas īpašnieki (turētāji), PVD atļauju saņēmēji veterināro zāļu paralēlajai tirdzniecībai vai valstī nereģistrētu veterināro zāļu izplatīšanai), attiecīgi sedzot BIOR izdevumus saskaņā ar BIOR cenrādi.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Oficiālās laboratorijas pakalpojumi veterināro zāļu kvalitātes kontrolei Latvijai tuvākajās dalībvalstīs nav pieejami vai ir ierobežoti un šo pakalpojumu saņemšanas izmaksas oficiālās kontroles nodrošināšanai pārsniedz šajā ziņojumā minētās BIOR izmaksas. Veterināro zāļu oficiālā kvalitātes kontroles veikšana citu dalībvalstu laboratorijās būtu sadrumstalota un PVD būtu ierobežota pakalpojumu pieejamība, jo īpaši, specifisku, tikai Latvijā atļautu vai aptiekās izgatavotu veterināro zāļu kontroles gadījumā vai gadījumā, ja neparedzētu apstākļu vai krīzes dēļ būtu nepieciešamas steidzami izmeklēt neplānoti lielu paraugu skaitu. Ņemot vērā minēto, šī iespēja netika virzīta tālākai izskatīšanai.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veterināro zāļu kvalitātes kontroles oficiālo laboratoriju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- 17.03.2025.)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Zāļu valsts aģentūra ir izvērtējusi informatīvo ziņojuma projektu “Par veterināro zāļu kvalitātes kontroles oficiālo laboratoriju”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par to viedokli nosūtījusi š.g. 14.martā Veselības ministrijas Farmācijas departamentam. Informatīvais ziņojums ir jāpapildina ar līdzvērtīgu izvērtējumu par iekārtām un  nepieciešamo finansējumu abām iestādēm – BIOR un Zāļu valsts aģentūrai, lai izmaksu piedāvājumi un atspoguļotie iestāžu rīcībā esošie resursi un iekārtas būtu izvērtēti pēc līdzvērtīgiem kritērijiem.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veterināro zāļu kvalitātes kontroles oficiālo laboratoriju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- 17.03.2025.)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papildināt Informatīvo ziņojumu, tajā ietverot arī alternatīvu variantu - Zāļu valsts aģentūru kā  oficiālo veterināro zāļu kvalitātes kontroles laboratoriju ar tai nepieciešamo papildu finansējumu  veterināro zāļu kvalitātes kontroles nodrošināšanai saskaņā ar Zāļu valsts aģentūras veiktajiem aprēķiniem  (skatīt. zemāk piedāvāto redakcijas tekstu).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Piezīme</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Zāļu valsts aģentūras aprēķini par nepieciešamajiem izdevumiem pamatojas uz </w:t>
            </w:r>
            <w:r w:rsidR="00000000" w:rsidRPr="00000000" w:rsidDel="00000000">
              <w:rPr>
                <w:u w:val="single"/>
                <w:rtl w:val="0"/>
              </w:rPr>
              <w:t xml:space="preserve">šajā Informatīvajā ziņojumā noteiktajiem laboratorijas uzdevumiem</w:t>
            </w:r>
            <w:r w:rsidR="00000000" w:rsidRPr="00000000" w:rsidDel="00000000">
              <w:rPr>
                <w:rtl w:val="0"/>
              </w:rPr>
              <w:t xml:space="preserve">, kas pēc Zāļu valsts aģentūras sniegtās informācijas būtiski ietekmē Zāļu valsts aģentūras  iepriekš sniegtās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Zāļu valsts aģentūra ir izvērtējusi informatīvo ziņojuma projektu “Par veterināro zāļu kvalitātes kontroles oficiālo laboratoriju", informatīvais ziņojums ir jāpapildina ar līdzvērtīgu izvērtējumu par iekārtām un  nepieciešamo finansējumu abām iestādēm – BIOR un Zāļu valsts aģentūrai, lai izmaksu piedāvājumi un atspoguļotie iestāžu rīcībā esošie resursi un iekārtas būtu izvērtēti pēc līdzvērtīgiem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ziņojuma norādīts, ka BIOR rīcībā ir galvenās nepieciešamās laboratorijas iekārtas veterināro zāļu kvalitātes kontrolei,  tas ir, šķidruma un gāzu hromatogrāfi veterināro zāļu aktīvās vielas satura un piemaisījumu noteikšanai; induktīvi saistītās plazmas masspektrometri minerālvielu satura un toksisko elementu satura noteikšanai; masspektrometri un UV un IS spektrofotometri aktīvās vielas identifikācijai. Tomēr informatīvajā ziņojumā nav norādīts, ka BIOR rīcībā ir pārējās nepieciešamās iekārtas, piemēram, šķīšanas iekārta, sairšanas iekārta, ūdens satura noteikšanas iekārta, cietības noteikšanas iekārta, nobirzuma iekārta, neredzamo daļiņu noteikšanas iekārta, osmolitātes noteikšanas iekārta, u.c. iekārtas), kas būtiski nepieciešamas zāļu kvalitātes kontrolei.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Zāļu valsts aģentūras rīcībā ir daļa BIOR minēto iekārtu un citas iekārtas, kas būtiski nepieciešamas veterināro zāļu kvalitātes kontrolei, atbilstoši zāļu ražotāju izstrādātajai specifikācijai.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ZVA nepieciešamais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ZVA ir šī informatīvā ziņojuma 7. punktā minētās kompetences un resursi cilvēkiem paredzēto zāļu jomā.  Saskaņā ar sākotnējām aplēsēm, lai ZVA varētu uzsākt un veikt oficiālās laboratorijas uzdevumus veterināro zāļu jomā, ir nepieciešams apmēram 62126 eiro 2025. gadā, pēc tam apmēram  46186 eiro 2026. gadā un turpmāk ik gadu.</w:t>
            </w:r>
          </w:p>
          <w:tbl>
            <w:tblPr>
              <w:tblStyle w:val="DefaultTable"/>
              <w:bidiVisual w:val="0"/>
              <w:tblW w:w="322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3075"/>
              <w:gridCol w:w="3075"/>
              <w:gridCol w:w="3075"/>
              <w:tblGridChange w:id="0">
                <w:tblGrid>
                  <w:gridCol w:w="3075"/>
                  <w:gridCol w:w="3075"/>
                  <w:gridCol w:w="3075"/>
                </w:tblGrid>
              </w:tblGridChange>
            </w:tblGrid>
            <w:tr>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ZVA nepieciešamais finansējums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Izmaksu pozīcija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Izmaksas pirmajā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EUR</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Izmaksas katrā nākamajā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EUR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Laboratorijas sagatavošana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akreditācijai: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Preces, materiāli, reaģenti,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standarti u.c.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12 100 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Nacionālā akreditācija</w:t>
                  </w:r>
                  <w:r w:rsidR="00000000" w:rsidRPr="00000000" w:rsidDel="00000000">
                    <w:rPr>
                      <w:sz w:val="24"/>
                      <w:vertAlign w:val="superscript"/>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3840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3.Vidējās testēšanas izmaksas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paraugiem</w:t>
                  </w:r>
                  <w:r w:rsidR="00000000" w:rsidRPr="00000000" w:rsidDel="00000000">
                    <w:rPr>
                      <w:sz w:val="24"/>
                      <w:vertAlign w:val="superscript"/>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38551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38551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4.Aktīvo vielu un to piemaisījumu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standarti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6050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6050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Parauga testēšanas vidējās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ja testēšanu veic reģistrācijas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procesā (viens stiprums)</w:t>
                  </w:r>
                  <w:r w:rsidR="00000000" w:rsidRPr="00000000" w:rsidDel="00000000">
                    <w:rPr>
                      <w:sz w:val="24"/>
                      <w:vertAlign w:val="superscript"/>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1585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1585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62126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46186 EUR</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Piebildes.</w:t>
            </w:r>
            <w:r w:rsidR="00000000" w:rsidRPr="00000000" w:rsidDel="00000000">
              <w:rPr>
                <w:i w:val="1"/>
                <w:vertAlign w:val="superscript"/>
                <w:rtl w:val="0"/>
              </w:rPr>
              <w:t xml:space="preserve">1 </w:t>
            </w:r>
            <w:r w:rsidR="00000000" w:rsidRPr="00000000" w:rsidDel="00000000">
              <w:rPr>
                <w:i w:val="1"/>
                <w:rtl w:val="0"/>
              </w:rPr>
              <w:t xml:space="preserve">ZVA laboratorija ir akreditēta elastīgajā sfērā attiecībā uz cilvēkiem paredzētajam zālēm “Zāļu, farmaceitisko aktīvo vielu un palīgvielu fizikālā un fizikāli ķīmiskā testēšana; attīrīta ūdens fizikālā testēšana Elastība attiecas uz testēšanas objektu, normatīvo dokumentāciju”, tāpēc norādītās izmaksas ir, lai paplašinātu elastīgo sfēru attiecībā uz veterinārajām zālēm.</w:t>
            </w:r>
            <w:r w:rsidR="00000000" w:rsidRPr="00000000" w:rsidDel="00000000">
              <w:rPr>
                <w:i w:val="1"/>
                <w:vertAlign w:val="superscript"/>
                <w:rtl w:val="0"/>
              </w:rPr>
              <w:t xml:space="preserve">2 </w:t>
            </w:r>
            <w:r w:rsidR="00000000" w:rsidRPr="00000000" w:rsidDel="00000000">
              <w:rPr>
                <w:i w:val="1"/>
                <w:rtl w:val="0"/>
              </w:rPr>
              <w:t xml:space="preserve">30 paraugu izmaksas rēķinātas nosakot sekojošus parametrus, kuri tiek testēti regulāri: identitāte izmantojot augstas efektivitātes šķidruma hromatogrāfiju (turpmāk – AEŠH) un ķīmiskā reakcija, vidējā masa, ūdens saturs, šķīšana izmantojot UV spektrofotometru, piemaisījumi izmantojot AEŠH, kvantitatīvais saturs AEŠH. Izmaksas var palielināties, ja jānosaka papildus parametri.</w:t>
            </w:r>
            <w:r w:rsidR="00000000" w:rsidRPr="00000000" w:rsidDel="00000000">
              <w:rPr>
                <w:i w:val="1"/>
                <w:vertAlign w:val="superscript"/>
                <w:rtl w:val="0"/>
              </w:rPr>
              <w:t xml:space="preserve">3</w:t>
            </w:r>
            <w:r w:rsidR="00000000" w:rsidRPr="00000000" w:rsidDel="00000000">
              <w:rPr>
                <w:i w:val="1"/>
                <w:rtl w:val="0"/>
              </w:rPr>
              <w:t xml:space="preserve"> Izdevumu pozīcija, ja ir jāveic analītisko metožu laboratoriskā pārbaude (kvantitatīvais saturs izmantojot AEŠH, piemaisījumi izmantojot AEŠH, šķīšana izmantojot AEŠH un vidējais svars).</w:t>
            </w:r>
            <w:r w:rsidR="00000000" w:rsidRPr="00000000" w:rsidDel="00000000">
              <w:rPr>
                <w:i w:val="1"/>
                <w:vertAlign w:val="superscript"/>
                <w:rtl w:val="0"/>
              </w:rPr>
              <w:t xml:space="preserve">4</w:t>
            </w:r>
            <w:r w:rsidR="00000000" w:rsidRPr="00000000" w:rsidDel="00000000">
              <w:rPr>
                <w:i w:val="1"/>
                <w:rtl w:val="0"/>
              </w:rPr>
              <w:t xml:space="preserve"> Finanšu aprēķinā nav iekļautas izmaksas par sniegtajiem pakalpojumiem, ja laboratorija neveic kādu veterināro zāļu analīzi, un attiecīgo veterināro zāļu paraugu nosūta kvalitātes kontrolei uz kādu no OMCL tīkla laboratorijām vai, ja nepieciešams, sniedz norādījumus veterināro zāļu tirdzniecības atļaujas īpašniekam (turētājam) par laboratoriju, uz kuru sūtīt veterināro zāļu paraugu kvalitātes kontrolei.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veterināro zāļu kvalitātes kontroles oficiālo laboratoriju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sadaļā “Nepieciešamais finansējums” sniegt detalizētāku nepieciešamā finansējuma aprēķinu, kas pamato norādīto izmaksu apmēru atbilstoši plānotajam vienību apjomam, kā arī sniegt skaidrojumu un pamatojumu to nepieciešamībai. Vēršam uzmanību, ka ņemot vērā ierobežotos finanšu resursus, izmaksas būtu nosakāmas minimālajā apmērā, lai nodrošinātu funkcijas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sadaļā “Nepieciešamais finansējums” sniegts detalizētāks nepieciešamā finansējuma aprēķins, kas pamato norādīto izmaksu apmēru atbilstoši plānotajam vienību apjomam, kā arī sniegts skaidrojums un pamatojums to nepieciešamībai.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veterināro zāļu kvalitātes kontroles oficiālo laboratoriju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informatīvā ziņojuma sadaļā “Nepieciešamais finansējums” un “Priekšlikumi” sniegto informāciju norādām, ka 2024.gada 30.aprīlī ir stājušies spēkā ES Stabilitātes un izaugsmes pakta nosacījumi (jaunie ES fiskālie noteikumi), saskaņā ar tiem 2025.gada 21.janvārī ir apstiprināts Latvijas Fiskāli strukturālais plāns 2025. – 2028.gadam, kurā noteikta saistoša izdevumu pieauguma trajektorija, kas līdz ar Fiskālās disciplīnas likuma nosacījumiem ir jāņem vērā turpmāko gadu valsts budžeta likumprojektu sagatavošanas procesā. Balstoties uz šī brīža prognozēm, iespējas piešķirt papildu finanšu resursus turpmākajos gados būs ierobežotas, kas ministrijām un citām centrālajām iestādēm jāņem vērā arī informatīvo ziņojumu sagatavošanā par dažādu pasākumu īstenošanu. Gatavojot valsts budžetu 2025.gadam, tika plānots, ka budžeta deficīts būs 2,9% apmērā no IKP, bet Eiropas Komisijas deficīta novērtējums ir augstāks. Tāpēc ir ļoti būtiski uzraudzīt budžeta faktisko izpildi jau saplānotiem pasākumiem un neradīt papildu risku 3% no IKP robežas pārsniegšanai. Turklāt pie situācijas, ja budžeta ieņēmumi 2025.gadā nepildīsies kā plānots, jau šobrīd var veidoties situācija, ka jāveic pasākumi izdevumu samazināšanai. Tas nozīmē, ka jauni pasākumi nedrīkst palielināt vispārējās valdības budžeta deficītu ne 2025.gadam, ne sekojošajiem gadiem. Papildus izdevumu finansēšana būtu iespējama, piedāvājot jaunus diskrecionāros ieņēmumu pasākumus (piemēram, izmaiņas ieņēmumu bāzē vai likmēs) vai samazinot citus izdevumus, lai rastu nepieciešamo finansējumu jaunu pasākumu finansēšanai, attiecīgi visas nozaru ministrijas tiek aicinātas nepieciešamos finanšu līdzekļus rast, pamatā pārskatot jau tām piešķirto finansējumu, veicot bāzes izdevumu pārskatīšanu, vai piedāvāt jaunus diskrecionārus ieņēmumu avotus.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uzskatām, ka finansējums informatīvajā ziņojumā paredzētajam ir jānodrošina Zemkopības ministrijas esošo budžeta līdzekļu ietvaros, attiecīgi lūdzam pārskatīt informatīvā ziņojuma sadaļā “Nepieciešamais finansējums” un “Priekšlikumi” sniegto informāciju, norādot konkrēti, kuras Zemkopības ministrijas budžeta programmas/apakšprogrammas ietvaros tiks nodrošināts finansējums 2025.gadam un turpmākajiem gadiem, skaidrojot, kādi plānotie izdevumi tiks samazināti, lai nepieciešamo resursu nodrošinātu, attiecīgi arī svītrojot informāciju par papildu finansējuma pieprasīšanu.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sadaļā “Nepieciešamais finansējums” sniegts detalizētāks nepieciešamā finansējuma aprēķins, kas pamato norādīto izmaksu apmēru atbilstoši plānotajam vienību apjomam, kā arī sniegts skaidrojums un pamatojums to nepieciešamībai.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BIOR nepieciešamo  finansējumu veterināro zāļu kvalitātes kontrolei 38 620 eiro apmērā 2026. gadā un turpmākajos gados nodrošinās Zemkopības ministrijas esošo budžeta līdzekļu ietvaros no valsts budžeta apakšprogrammā 70.06.00 iekļautās funkcijas “Dzīvnieku infekcijas slimību profilakses un apkarošanas, mikroorganismu rezistences uzraudzības, kā arī pārtikas produktu un dzīvnieku barības nekaitīguma un kvalitātes nodrošināšanas pasākumi”. Finansējumu var nodrošināt, jo tiek piemērots cits princips izmeklējumiem uz Āfrikas cūku mēri, veidojot apvienotos paraugus. Nepieciešamais finansējums BIOR  2025.gadam  54 900 eiro   piešķirts no ZM budžeta kā ieguldījums 2025.gadā zinātnisko iestāžu materiāli tehniskās bāzes pilnveidošanai.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veterināro zāļu kvalitātes kontroles oficiālo laboratoriju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ziņojuma sadaļā “Tiesiskais regulējums” sniegta informācija, ka EK Regulas Nr. 2019/6 29. pants paredz ES dalībvalstij pienākumu nodrošināt veterināro zāļu kvalitātes kontroli šim nolūkam nozīmētā laboratorijā, tomēr vēršam uzmanību, ka minētā regulas norma paredz, ka kompetentā iestāde var prasīt, lai pieteikuma iesniedzējs iesniedz paraugus Eiropas Savienības references laboratorijai, oficiālai zāļu kontroles laboratorijai vai kādai dalībvalsts minētajā nolūkā nozīmētai laboratorijai, bet no tās neizriet pienākums dalībvalstij nodrošināt veterināro zāļu kvalitātes kontroli šim nolūkam nozīmētā laboratorijā. Attiecīgi lūdzam pārskatīt un precizēt ziņojumā sniegto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ievērojot, ka minētā regula ir pieņemta 2018.gada 11.decembrī, lūdzam informatīvajā ziņojumā skaidrot, kā līdzšinēji Pārtikas un veterinārais dienests, kas saskaņā ar Farmācijas likuma 12. panta pirmās daļas 4.punktā paredzēto nodrošina veterināro zāļu kvalitātes kontroli, ir īstenojis minētajā regulā noteiktās kompetentās iestādes funkcijas attiecībā uz laboratorijas izmantošanu paraugu testēšanai.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informatīvajā ziņojuma 2. un 9. punktā sniegtā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veterināro zāļu kvalitātes kontroles oficiālo laboratoriju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"Par veterināro zāļu kvalitātes kontroles oficiālo laboratoriju" (turpmāk - informatīvais ziņojums) 5.lpp. minēts, ka: "Latvijā līdz šim nav noteikta oficiālā laboratorija, kas veic veterināro zāļu kvalitātes kontroli." Saistībā ar minēto lūdzam sniegt izvērstāku skaidrojumu par pašreizējo situāciju, tostarp, kāda ir pašreizējā situācija Eiropas Parlamenta un Padomes 2018.gada 11.decembra Regulas (ES) 2019/6 par veterinārajām zālēm un ar ko atceļ Direktīvu 2001/82 (turpmāk – regula 2019/6) prasību izpildē. Īpaši lūdzam skaidrot, kāda ietekme regulas 2019/6 prasību izpildē ir vai nav bijusi apstāklim, ka Latvijā līdz šim nav noteikta oficiālā laboratorija, kas veic veterināro zāļu kvalitātes kontroli. Lūdzam arī skaidrot, vai šādas laboratorijas noteikšana ir regulas 2019/6 prasība, vai arī dalībvalsts izvēle.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informatīvā ziņojuma  2. un 9. punkts.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veterināro zāļu kvalitātes kontroles oficiālo laboratoriju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1.lpp. skaidrots: "Regulas 2019/6 29. pants paredz ES dalībvalstij pienākumu nodrošināt veterināro zāļu kvalitātes kontroli šim nolūkam nozīmētā laboratorijā, kurā var kontrolēt veterinārās zāles, to izejvielas un pēc nepieciešamības arī to starpproduktus vai citas to sastāvā esošas vielas." Lūdzam vai nu precizēt skaidrojumu, vai sniegt izvērstāku pamatojumu, jo regulas 2019/6 29.panta 1.punkts neparedz ES dalībvalstij pienākumu nodrošināt veterināro zāļu kvalitātes kontroli </w:t>
            </w:r>
            <w:r w:rsidR="00000000" w:rsidRPr="00000000" w:rsidDel="00000000">
              <w:rPr>
                <w:u w:val="single"/>
                <w:rtl w:val="0"/>
              </w:rPr>
              <w:t xml:space="preserve">šim nolūkam nozīmētā laboratorijā</w:t>
            </w:r>
            <w:r w:rsidR="00000000" w:rsidRPr="00000000" w:rsidDel="00000000">
              <w:rPr>
                <w:rtl w:val="0"/>
              </w:rPr>
              <w:t xml:space="preserve">. Proti, minētā regulas norma paredz, ka kompetentā iestāde var prasīt, lai pieteikuma iesniedzējs iesniedz attiecīgos paraugus </w:t>
            </w:r>
            <w:r w:rsidR="00000000" w:rsidRPr="00000000" w:rsidDel="00000000">
              <w:rPr>
                <w:u w:val="single"/>
                <w:rtl w:val="0"/>
              </w:rPr>
              <w:t xml:space="preserve">Eiropas Savienības references laboratorijai, oficiālai zāļu kontroles laboratorijai vai kādai dalībvalsts minētajā nolūkā nozīmētai laboratorijai</w:t>
            </w:r>
            <w:r w:rsidR="00000000" w:rsidRPr="00000000" w:rsidDel="00000000">
              <w:rPr>
                <w:rtl w:val="0"/>
              </w:rPr>
              <w:t xml:space="preserve">. Proti, minētā norma paredz trīs dažādus laboratoriju veidus, kur attiecīgos paraugus var iesniegt. Attiecīgi lūdzam precizēt ziņojumu vai sniegt pamatotu skaidrojumu par ziņojumā minēto.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Līdzīgi aicinām izvērtēt skaidrojumu par no regulas 2019/6 123.panta izrietošajiem dalībvalsts pienākumiem, ņemot vērā, ka regulas 123.panta 6.punkta "b" apakšpunkts norāda, ka neatkarīgu paraugu analīzi veic "kāda no oficiālajām zāļu kontroles laboratorijām vai kāda laboratorija, kuru šim nolūkam nozīmējusi kāda dalībvalsts".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minēto lūdzam izvērtēt terminu "oficiālā (zāļu kontroles) laboratorija" un "laboratorija, kuru šim nolūkam nozīmējusi kāda dalībvalsts" lietojumu. No regulas 2019/6 teksta pirmšķietami izriet, ka minētie termini ir ar atšķirīgu nozīmi, tomēr informatīvā ziņojuma ietvaros tie lietoti nekonsekventi (piemēram: "</w:t>
            </w:r>
            <w:r w:rsidR="00000000" w:rsidRPr="00000000" w:rsidDel="00000000">
              <w:rPr>
                <w:i w:val="1"/>
                <w:rtl w:val="0"/>
              </w:rPr>
              <w:t xml:space="preserve">[..] tie jānosūta neatkarīgai kvalitātes kontrolei oficiālajā laboratorijā, ko šim nolūkam nozīmējusi dalībvalsts</w:t>
            </w:r>
            <w:r w:rsidR="00000000" w:rsidRPr="00000000" w:rsidDel="00000000">
              <w:rPr>
                <w:rtl w:val="0"/>
              </w:rPr>
              <w:t xml:space="preserve">"). Papildus aicinām izvērstāk skaidrot, kas ir "references laboratorija", ņemot vērā, ka attiecīgā laboratorijas veida izpratne ziņojumā nav skaidrota. Attiecīgi lūdzam skaidrot un salāgot lietotos terminus, kas attiecas uz regulā 2019/6 minētajiem laboratoriju veidiem. Attiecīgi lūdzam izvērtēt to lietojumu, kā arī sniegt izvērstākus skaidrojumus par to izpratni.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informatīva ziņojuma 2. punkts.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Finansējums veterināro zāļu kvalitātes kontroles oficiālās laboratorijas funkcijas īstenošanai tiks nodrošināts Zemkopības ministrijai pieejamo budžeta līdzekļu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protokollēmuma projekta 3.punktu, norādot konkrētu Zemkopības ministrijas apakšprogrammu, kuras ietvaros finansējums tiks nodrošināts (precizējumu veikšanā lūdzam ņemt vērā sniegto iebildumu pie ziņojuma).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Finansējumu veterināro zāļu kvalitātes kontroles oficiālās laboratorijas funkcijas īstenošanai nodrošināt no Zemkopības ministrijai pieejamajiem budžeta līdzekļiem valsts budžeta apakšprogrammā 20.02.00 "Riska zinātniskā novērtēšana un references laboratorijas funkciju veikšana dzīvnieku veselības, pārtikas un dzīvnieku barības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Jautājumu par Zemkopības ministrijai (Pārtikas drošības, dzīvnieku veselības un vides zinātniskajam institūtam "BIOR") papildus nepieciešamā finansējuma piešķiršanu veterināro zāļu kvalitātes kontroles oficiālās laboratorijas funkciju nodrošināšanai skatīt Ministru kabinetā likumprojekta "Par valsts budžetu 2026. gadam un budžeta ietvaru 2026., 2027. un 2028. gadam" sagatavošanas un izskatīšanas procesā kopā ar visu ministriju un citu centrālo valsts iestāžu iesniegtajiem prioritāro pasākumu pieteikumiem atbilstoši valsts budžeta finansiālajām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izteikto iebildumu pie informatīvā ziņojuma, lūdzam protokollēmuma projekta 3.punktu izteikt šādā redakcijā: “3. Finansējums veterināro zāļu kvalitātes kontroles oficiālās laboratorijas funkcijas īstenošanai tiks nodrošināts Zemkopības ministrijai pieejamo budžeta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Finansējumu veterināro zāļu kvalitātes kontroles oficiālās laboratorijas funkcijas īstenošanai nodrošināt no Zemkopības ministrijai pieejamajiem budžeta līdzekļiem valsts budžeta apakšprogrammā 20.02.00 "Riska zinātniskā novērtēšana un references laboratorijas funkciju veikšana dzīvnieku veselības, pārtikas un dzīvnieku barības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veterināro zāļu kvalitātes kontroles oficiālo laboratoriju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norādīts, ka ”</w:t>
            </w:r>
            <w:r w:rsidR="00000000" w:rsidRPr="00000000" w:rsidDel="00000000">
              <w:rPr>
                <w:i w:val="1"/>
                <w:u w:val="single"/>
                <w:rtl w:val="0"/>
              </w:rPr>
              <w:t xml:space="preserve">Informatīvā ziņojuma</w:t>
            </w:r>
            <w:r w:rsidR="00000000" w:rsidRPr="00000000" w:rsidDel="00000000">
              <w:rPr>
                <w:i w:val="1"/>
                <w:rtl w:val="0"/>
              </w:rPr>
              <w:t xml:space="preserve"> sagatavošanas </w:t>
            </w:r>
            <w:r w:rsidR="00000000" w:rsidRPr="00000000" w:rsidDel="00000000">
              <w:rPr>
                <w:i w:val="1"/>
                <w:u w:val="single"/>
                <w:rtl w:val="0"/>
              </w:rPr>
              <w:t xml:space="preserve">mērķis ir pilnvarot</w:t>
            </w:r>
            <w:r w:rsidR="00000000" w:rsidRPr="00000000" w:rsidDel="00000000">
              <w:rPr>
                <w:i w:val="1"/>
                <w:rtl w:val="0"/>
              </w:rPr>
              <w:t xml:space="preserve"> veterināro zāļu kvalitātes kontroles oficiālo laboratoriju [..].</w:t>
            </w:r>
            <w:r w:rsidR="00000000" w:rsidRPr="00000000" w:rsidDel="00000000">
              <w:rPr>
                <w:rtl w:val="0"/>
              </w:rPr>
              <w:t xml:space="preserve">” Norādām, ka informatīvais ziņojums ietver informāciju vai pārskatu par Ministru kabineta kompetencē esoša jautājuma risināšanas gaitu, proti, tas nevar noteikt pilnvarojumus. Ministru kabineta sēdes protokollēmuma projekta 2. punktā pareizi norādīts, ka pilnvarojums nosakāms, grozot Farmācijas likumu. Attiecīgi aicinām precizēt norādīto informatīvā ziņojuma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veterināro zāļu kvalitātes kontroles oficiālo laboratoriju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informatīvajā ziņojumā norādītā izriet, ka Pārtikas un veterinārajam dienestam sadarbībā ar veterināro zāļu kvalitātes kontroles oficiālo laboratoriju ir jāizveido un jāizpilda veterināro zāļu paraugu ņemšanas un testēšanas plāns, kas ir daļa no veterināro zāļu kvalitātes monitoringa 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varētu nepārprotami identificēt minēto monitoringa programmu, aicinām informatīvo ziņojumu papildināt ar izvērstāku skaidrojumu par attiecīgo monitoringa programmu.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informatīvā ziņojuma 11.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veterināro zāļu kvalitātes kontroles oficiālo laboratoriju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Valsts pārvaldes iekārtas likuma 40.panta pirmajā daļā noteiktajam publiska persona var deleģēt privātpersonai un citai publiskai personai pārvaldes uzdevumu, nevis funkciju.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lūdzam precizēt informatīvajā ziņojumā lietoto terminoloģiju, norādot, ka Pārtikas drošības, dzīvnieku veselības un vides zinātniskais institūts "BIOR" (turpmāk - institūts) veic pārvaldes deleģētos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veterināro zāļu kvalitātes kontroles oficiālo laboratoriju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6.lpp. precizēt, kādās jomās institūts ir uzskatāms par oficiālo kontroles laboratoriju. Proti, ja institūts jau šobrīd ir oficiālā kontroles laboratorija kādās jomās, bet ne veterināro zāļu kvalitātes kontroles jomā, aicinām tā arī norādīt.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BIOR ir valsts references laboratorija EIROPAS PARLAMENTA UN PADOMES REGULAS (ES) 2017/625 (2017. gada 15. marts),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oficiālajām kontrolēm un citām oficiālajām darbībām, kuras veic, lai nodrošinātu, ka tiek piemēroti pārtikas un barības aprites tiesību akti, noteikumi par dzīvnieku veselību un labturību, augu veselību un augu aizsardzības līdzekļiem, un ar ko groza Eiropas Parlamenta un Padomes Regulas (EK) Nr. 999/2001, (EK) Nr. 396/2005, (EK) Nr. 1069/2009, (EK) Nr. 1107/2009, (ES) Nr. 1151/2012, (ES) Nr. 652/2014, (ES) 2016/429 un (ES) 2016/2031, Padomes Regulas (EK) Nr. 1/2005 un (EK) Nr. 1099/2009 un Padomes Direktīvas 98/58/EK, 1999/74/EK, 2007/43/EK, 2008/119/EK un 2008/120/EK un atceļ Eiropas Parlamenta un Padomes Regulas (EK) Nr. 854/2004 un (EK) Nr. 882/2004, Padomes Direktīvas 89/608/EEK, 89/662/EEK, 90/425/EEK, 91/496/EEK, 96/23/EK, 96/93/EK un 97/78/EK un Padomes Lēmumu 92/438/EEK (Oficiālo kontroļu regula) regulas jomās.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BIOR līdz šim nav oficiālā laboratorija.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veterināro zāļu kvalitātes kontroles oficiālo laboratoriju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5.-6.lpp. minēti oficiālās laboratorijas uzdevumi. Aicinām pēc iespējas pilnveidot attiecīgās informatīvā ziņojuma nodaļas, skaidrojot, no kādām tiesību normām izriet attiecīgie uzdevumi, kā arī, kas ir veicis attiecīgos uzdevumus līdz šim.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informatīvā ziņojuma 9. un 10.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24-TA-3240</w:t>
    </w:r>
    <w:r>
      <w:br/>
    </w:r>
    <w:r w:rsidR="00000000" w:rsidRPr="00000000" w:rsidDel="00000000">
      <w:rPr>
        <w:rtl w:val="0"/>
      </w:rPr>
      <w:t xml:space="preserve">23.05.2025. 16.30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24-TA-3240</w:t>
    </w:r>
    <w:r>
      <w:br/>
    </w:r>
    <w:r w:rsidR="00000000" w:rsidRPr="00000000" w:rsidDel="00000000">
      <w:rPr>
        <w:rtl w:val="0"/>
      </w:rPr>
      <w:t xml:space="preserve">23.05.2025. 16.30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Izziņa_24-TA-3240.docx</dc:title>
</cp:coreProperties>
</file>

<file path=docProps/custom.xml><?xml version="1.0" encoding="utf-8"?>
<Properties xmlns="http://schemas.openxmlformats.org/officeDocument/2006/custom-properties" xmlns:vt="http://schemas.openxmlformats.org/officeDocument/2006/docPropsVTypes"/>
</file>