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26-TA-296: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5. septembra noteikumos Nr. 512 "Eiropas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0.0" w:type="dxa"/>
              <w:left w:w="0.0" w:type="dxa"/>
              <w:bottom w:w="0.0" w:type="dxa"/>
              <w:right w:w="0.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(23.01.2026.)</w:t>
            </w:r>
          </w:p>
        </w:tc>
      </w:tr>
      <w:tr>
        <w:tc>
          <w:tcPr>
            <w:shd w:fill="ffffff"/>
            <w:vAlign w:val="center"/>
            <w:noWrap w:val="true"/>
            <w:gridSpan w:val="5"/>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26.03.2026. 11:15</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grozījumu anotācijas 1.6. sadaļu ar skaidrojumu par CFLA un Nozares ministrijas rīcību trūkumu novēršanai gadījumos, kad tiek konstatēts, ka mērķa grupas persona vai tās mājoklis nav izvērtēts noteikumos paredzētajā kārtībā.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projektā ir konstatētas atkāpes vai trūkumi, jo mērķa grupas persona, kura ar pašvaldības sociālā dienesta lēmumu ir iekļauta projektā, un/vai tās mājoklis nav izvērtēts noteikumos paredzētajā kārtībā, CFLA par to informē Nozares ministriju un savstarpēji saskaņo atkāpju vai trūkumu novēršanas mehānismu. Ja mērķa grupas persona un/vai tās mājoklis nav izvērtēts noteikumos paredzētajā kārtībā, bet pēc būtības atbilst noteikumu pielikumā norādītajiem kritērijiem un tam nav ietekmes uz pretendentu loku vai personu atlases rezultātu, saņemot Nozares ministrijas saskaņojumu, trūkumus var novērst atkārtoti izvērtējot mērķa grupas personas un tās mājokļa atbilstību noteikumos un to pielikumā paredzētajiem kritērijiem.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priekšlikumam papildināta anotācijas 1.6. sadaļa ar skaidrojumu par CFLA un Nozares ministrijas rīcību trūkumu novēršanai gadījumos, kad tiek konstatēts, ka mērķa grupas persona vai tās mājoklis nav izvērtēts noteikumos paredzētajā kārtībā.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center"/>
            <w:noWrap w:val="true"/>
            <w:gridSpan w:val="5"/>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09.03.2026. 13:08</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Izmaksas šo noteikumu </w:t>
            </w:r>
            <w:r w:rsidR="00000000" w:rsidRPr="00000000" w:rsidDel="00000000">
              <w:rPr>
                <w:rtl w:val="0"/>
              </w:rPr>
              <w:t xml:space="preserve">20.1.</w:t>
            </w:r>
            <w:r w:rsidR="00000000" w:rsidRPr="00000000" w:rsidDel="00000000">
              <w:rPr>
                <w:rtl w:val="0"/>
              </w:rPr>
              <w:t xml:space="preserve"> apakšpunktā</w:t>
            </w:r>
            <w:r w:rsidR="00000000" w:rsidRPr="00000000" w:rsidDel="00000000">
              <w:rPr>
                <w:rtl w:val="0"/>
              </w:rPr>
              <w:t xml:space="preserve"> minētās atbalstāmās darbības īstenošanai finansējuma saņēmējs nepieciešamības gadījumā plāno kā: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2023. gada 5. septembra noteikumu Nr. 512 "Eiropas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īstenošanas noteikumi" (turpmāk – noteikumi Nr. 512) plānotā 22.punkta ievaddaļu vai 22.1.apakšpunktu, lai novērstu neatļautu abu metožu kombinēšanu. T.i. personāla izmaksām ir jābūt paredzētām atbilstoši vienai metodei – vai nu visām izmaksām jābūt iekļautām likmē (neatkarīgi no veida, kādā personālu iesaista), vai arī jāparedz kā faktiskās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izvairītos no pārpratumiem un interpretācijas iespējām, aicinām papildināt noteikumu projekta 22.1.apakšpunkta beigu daļu ar saikli “vai”, vai arī 22.punkta ievaddaļā formulēt, piemēram, šādi: “Ja šo noteikumu 20.1. apakšpunktā minētās atbalstāmās darbības īstenošanai finansējuma saņēmējs plāno izmaksas, tās plāno vienā no šīm metodēm:”. Papildus aicinām anotācijā sniegt papildus skaidrojumu/ informāciju par to, cik finansējuma saņēmējiem/ projektiem ir aktuālas šīs faktiskās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šāda pieeja </w:t>
            </w:r>
            <w:r w:rsidR="00000000" w:rsidRPr="00000000" w:rsidDel="00000000">
              <w:rPr>
                <w:b w:val="1"/>
                <w:rtl w:val="0"/>
              </w:rPr>
              <w:t xml:space="preserve">neatbilst vienkāršoto izmaksu principiem </w:t>
            </w:r>
            <w:r w:rsidR="00000000" w:rsidRPr="00000000" w:rsidDel="00000000">
              <w:rPr>
                <w:rtl w:val="0"/>
              </w:rPr>
              <w:t xml:space="preserve">un </w:t>
            </w:r>
            <w:r w:rsidR="00000000" w:rsidRPr="00000000" w:rsidDel="00000000">
              <w:rPr>
                <w:b w:val="1"/>
                <w:rtl w:val="0"/>
              </w:rPr>
              <w:t xml:space="preserve">var radīt nopietnas sekas turpmākajā īstenošanā, kā arī auditos: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Vienotās likmes būtība Eiropas Savienības fondu regulējumā paredz, ka noteikta procentuālā likme tiek piemērota kā vienkāršoto izmaksu iespēja (SCO), lai segtu konkrētu izmaksu kategoriju kopumā, neuzrādot un nepierādot katru atsevišķu izmaksu pozīciju.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55. panta 1. punktu personāla izmaksu vienotā likme līdz 20 % apmērā (pirmā izmaksu kategorija), kas tiek aprēķināta no pārējām tiešajām attiecināmajām izmaksām (otrā izmaksu kategorija, kas kalpo kā bāzes izmaksas), ir paredzēta, lai segtu visas izmaksas, kas ietilpst pirmajā izmaksu kategorijā. Līdz ar to pasākuma ietvaros personāla izmaksām ir jāpiemēro vienota pieeja – vai nu vienotā likme, vai faktiskās izmaksas. Savukārt Labklājības ministrijas AF investīcijā šobrīd paredzētā pieeja ir pretrunā ar vienotās likmes būtību.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novērstu vienas un tās pašas izmaksu pozīcijas dubultu finansēšanu, vienkāršoto izmaksu un faktisko izmaksu kombinēšana ir pieļaujama tikai tad, ja tās attiecas uz savstarpēji nošķirtām izmaksu kategorijām. Līdz ar to nav pieļaujama situācija, kurā vienai daļai personāla izmaksu tiek piemērota vienotā likme, bet citai daļai – faktisko izmaksu aprēķins. Šāda pieeja var radīt būtiskus riskus un neskaidrības audita procesā. </w:t>
            </w:r>
            <w:r w:rsidR="00000000" w:rsidRPr="00000000" w:rsidDel="00000000">
              <w:rPr>
                <w:u w:val="single"/>
                <w:rtl w:val="0"/>
              </w:rPr>
              <w:t xml:space="preserve">Eiropas Komisijas vienkāršoto izmaksu pamatnostādņu*</w:t>
            </w:r>
            <w:r w:rsidR="00000000" w:rsidRPr="00000000" w:rsidDel="00000000">
              <w:rPr>
                <w:rtl w:val="0"/>
              </w:rPr>
              <w:t xml:space="preserve"> (turpmāk - pamatnostādnes) 6.4. apakšnodaļā “Pārbaude par to, vai vienkāršotu izmaksu iespēju izmantošanā nav pieļauta dubulta finansēšana” ir norādīts, ka jāpārliecinās arī par to, ka netiek veikta vienas un tās pašas izmaksu pozīcijas dubulta deklarēšana. Tas nozīmē, ka “bāzes izmaksas” vai citas faktiskās izmaksas nedrīkst ietvert izmaksu pozīcijas, kuras parasti tiek segtas ar vienotās likmes palīdzību.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Papildus iepriekš minēto </w:t>
            </w:r>
            <w:r w:rsidR="00000000" w:rsidRPr="00000000" w:rsidDel="00000000">
              <w:rPr>
                <w:u w:val="single"/>
                <w:rtl w:val="0"/>
              </w:rPr>
              <w:t xml:space="preserve">pamatnostādņu</w:t>
            </w:r>
            <w:r w:rsidR="00000000" w:rsidRPr="00000000" w:rsidDel="00000000">
              <w:rPr>
                <w:rtl w:val="0"/>
              </w:rPr>
              <w:t xml:space="preserve"> 2.2.1. apakšnodaļā ir izklāstīts, kā vienotās likmes sistēmā nosaka izmaksu kategorijas. Tajā ir izteikts, ka jebkurai izmaksu kategorijai nepārprotami ir jāatbilst tikai vienam no izmaksu kategoriju trīs veidiem: 1) bāzes izmaksas, kurām piemēro vienoto likmi; 2) izmaksas, kuras sedz, piemērojot vienoto likmi; 3) citas izmaksas, kuras nav iekļautas pirmā vai otrā veida aprēķinā.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KOMISIJAS PAZIŅOJUMS – Pamatnostādnes par vienkāršotu izmaksu iespēju izmantošanu saistībā ar fondiem, uz kuriem attiecas Regula (ES) 2021/1060 (Kopīgo noteikumu regula)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C_202407467LV.000101.fmx.xml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precizēts MK noteikumu Nr. 512 22. punkts, lai precīzāk noteiktu, ka izmaksas projekta vadībai un īstenošanai projektā ir plānojamas atbilstoši vienai no metodēm jeb veidiem (arī Labklājības ministrijas (turpmāk – LM)  piedāvātajā redakcijā tas tā bija domāts). Vienlaikus informējam, ka piekrītam Finanšu ministrijas sniegtajam viedoklim, ka izmaksām projekta vadībai un īstenošanai ir jābūt paredzētam projektā atbilstoši vienam veidam – vai nu atbilstoši vienotai likmei vai kā faktiskajām izmaksām. Jau sākotnēji LM anotācijā iekļāva šādu informāciju – “(..) ņemot vērā ES fondu projektu īstenošanas praksi un nosacījumus, personāla izmaksām ir jābūt paredzētām atbilstoši vienai metodei – vai nu visām izmaksām jābūt iekļautām likmē (neatkarīgi no veida, kādā personālu iesaista) vai arī jāparedz kā faktiskās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CFLA jau ir akceptējusi dažādas personāla plānošanas pieejas un šobrīd visos 3.1.2.1.i. investīcijas 2. kārtas projektos nav iespējams iestrādāt vienotu personāla izmaksu veidu, jo projektos finansējums jau ir saplānots vai izmantots atbilstoši tam, kā tas ir akceptēts (paskaidrojam, ka uz vienu personas mājokļa pielāgošanu ir noteikts izmaksu limits 18 299 euro, no kura sedzamas arī projekta personāla izmaksas. Projekta summu rēķina, šo izmaksu limitu reizinot ar iesaistīto personu skaitu. Ja finansējuma saņēmējs atbilstoši faktisko izmaksu pieejai ir ieplānojis mazāku finansējumu personāla izmaksām kā 15 % no izmaksām, kas nav personāla izmaksas, bet lielāku – mājokļa pielāgošanai, tad projektā nav finansējums, ko pārdalīt personāla izmaksām. Savukārt, ja ir ieplānota likme jau no paša sākuma, šajā posmā nav korekti finansējuma saņēmējiem personāla izmaksas, kas atttiecinātas atbilstoši vienotai likmei, likt lūgt pamatot ar atbilstošiem izmaksu dokumentiem. Tāpat ir projekti, kuros šādas izmaksas nav ieplānotas vispār, attiecīgi nav finanšu avota, no kuras tās segt, jo viss finansējums tiek novirzīts mājokļu pielāgošanai).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Ja šo noteikumu </w:t>
            </w:r>
            <w:r w:rsidR="00000000" w:rsidRPr="00000000" w:rsidDel="00000000">
              <w:rPr>
                <w:rtl w:val="0"/>
              </w:rPr>
              <w:t xml:space="preserve">20.1.</w:t>
            </w:r>
            <w:r w:rsidR="00000000" w:rsidRPr="00000000" w:rsidDel="00000000">
              <w:rPr>
                <w:rtl w:val="0"/>
              </w:rPr>
              <w:t xml:space="preserve"> apakšpunktā</w:t>
            </w:r>
            <w:r w:rsidR="00000000" w:rsidRPr="00000000" w:rsidDel="00000000">
              <w:rPr>
                <w:rtl w:val="0"/>
              </w:rPr>
              <w:t xml:space="preserve"> minētās atbalstāmās darbības īstenošanai finansējuma saņēmējs plāno izmaksas, tās paredz vienā no šādiem veidiem: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 Ja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​​​​minētā mērķa grupas persona pārtrauc dalību pasākumā vai rodas citi no finansējuma saņēmēja neatkarīgi apstākļi, kuru dēļ nav iespējams pabeigt personas mājokļa pielāgojumus (piemēram, persona ir mainījusi dzīvesvietu, persona ir mirusi vai atrodas bezvēsts prombūtnē), šo noteikumu </w:t>
            </w:r>
            <w:r w:rsidR="00000000" w:rsidRPr="00000000" w:rsidDel="00000000">
              <w:rPr>
                <w:rtl w:val="0"/>
              </w:rPr>
              <w:t xml:space="preserve">7.1. </w:t>
            </w:r>
            <w:r w:rsidR="00000000" w:rsidRPr="00000000" w:rsidDel="00000000">
              <w:rPr>
                <w:rtl w:val="0"/>
              </w:rPr>
              <w:t xml:space="preserve">apakšpunktā</w:t>
            </w:r>
            <w:r w:rsidR="00000000" w:rsidRPr="00000000" w:rsidDel="00000000">
              <w:rPr>
                <w:rtl w:val="0"/>
              </w:rPr>
              <w:t xml:space="preserve"> noteiktā atskaites punkta un </w:t>
            </w:r>
            <w:r w:rsidR="00000000" w:rsidRPr="00000000" w:rsidDel="00000000">
              <w:rPr>
                <w:rtl w:val="0"/>
              </w:rPr>
              <w:t xml:space="preserve">7.2. </w:t>
            </w:r>
            <w:r w:rsidR="00000000" w:rsidRPr="00000000" w:rsidDel="00000000">
              <w:rPr>
                <w:rtl w:val="0"/>
              </w:rPr>
              <w:t xml:space="preserve">apakšpunktā</w:t>
            </w:r>
            <w:r w:rsidR="00000000" w:rsidRPr="00000000" w:rsidDel="00000000">
              <w:rPr>
                <w:rtl w:val="0"/>
              </w:rPr>
              <w:t xml:space="preserve"> noteiktā mērķrādītāja izpilde ir uzskatāma par nesasniegtu un veiktās mājokļa vides pielāgojumu izmaksas sedz no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minētā finansējuma.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 noteikumu projekta noteikumu Nr. 512 plānoto 23.</w:t>
            </w:r>
            <w:r w:rsidR="00000000" w:rsidRPr="00000000" w:rsidDel="00000000">
              <w:rPr>
                <w:vertAlign w:val="superscript"/>
                <w:rtl w:val="0"/>
              </w:rPr>
              <w:t xml:space="preserve">1</w:t>
            </w:r>
            <w:r w:rsidR="00000000" w:rsidRPr="00000000" w:rsidDel="00000000">
              <w:rPr>
                <w:rtl w:val="0"/>
              </w:rPr>
              <w:t xml:space="preserve"> un 23.</w:t>
            </w:r>
            <w:r w:rsidR="00000000" w:rsidRPr="00000000" w:rsidDel="00000000">
              <w:rPr>
                <w:vertAlign w:val="superscript"/>
                <w:rtl w:val="0"/>
              </w:rPr>
              <w:t xml:space="preserve">2</w:t>
            </w:r>
            <w:r w:rsidR="00000000" w:rsidRPr="00000000" w:rsidDel="00000000">
              <w:rPr>
                <w:rtl w:val="0"/>
              </w:rPr>
              <w:t xml:space="preserve"> punktu, kamēr nav saņemts Eiropas Komisijas (turpmāk - EK) neformālais viedoklis. Vēršam uzmanību, ka izmaiņas AF plānā un AF plāna Darbības kārtībā, par kuru vienojušās Eiropas Komisija un Latvija, noteikto mērķrādītāju (115. atskaites punkts un 117. mērķis) uzskaites metodikā nav iespējams veikt bez EK saskaņojuma. Š.g. 5.martā Finanšu ministrija ir nosūtījusi jautājumu par uzskaites metodiku EK, taču atbilde vēl nav saņemta.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23.</w:t>
            </w:r>
            <w:r w:rsidR="00000000" w:rsidRPr="00000000" w:rsidDel="00000000">
              <w:rPr>
                <w:vertAlign w:val="superscript"/>
                <w:rtl w:val="0"/>
              </w:rPr>
              <w:t xml:space="preserve">2</w:t>
            </w:r>
            <w:r w:rsidR="00000000" w:rsidRPr="00000000" w:rsidDel="00000000">
              <w:rPr>
                <w:rtl w:val="0"/>
              </w:rPr>
              <w:t xml:space="preserve"> punkts un netiek mainīta šobrīd spēkā esošā 23.</w:t>
            </w:r>
            <w:r w:rsidR="00000000" w:rsidRPr="00000000" w:rsidDel="00000000">
              <w:rPr>
                <w:vertAlign w:val="superscript"/>
                <w:rtl w:val="0"/>
              </w:rPr>
              <w:t xml:space="preserve">1</w:t>
            </w:r>
            <w:r w:rsidR="00000000" w:rsidRPr="00000000" w:rsidDel="00000000">
              <w:rPr>
                <w:rtl w:val="0"/>
              </w:rPr>
              <w:t xml:space="preserve"> punkta redakcija. Ja EK viedoklis tiks saņemts noteikumu projekta saskaņošanas laikā un tas būs pozitīvs, LM atjaunos 23.</w:t>
            </w:r>
            <w:r w:rsidR="00000000" w:rsidRPr="00000000" w:rsidDel="00000000">
              <w:rPr>
                <w:vertAlign w:val="superscript"/>
                <w:rtl w:val="0"/>
              </w:rPr>
              <w:t xml:space="preserve">1 </w:t>
            </w:r>
            <w:r w:rsidR="00000000" w:rsidRPr="00000000" w:rsidDel="00000000">
              <w:rPr>
                <w:rtl w:val="0"/>
              </w:rPr>
              <w:t xml:space="preserve">un 23.</w:t>
            </w:r>
            <w:r w:rsidR="00000000" w:rsidRPr="00000000" w:rsidDel="00000000">
              <w:rPr>
                <w:vertAlign w:val="superscript"/>
                <w:rtl w:val="0"/>
              </w:rPr>
              <w:t xml:space="preserve">2</w:t>
            </w:r>
            <w:r w:rsidR="00000000" w:rsidRPr="00000000" w:rsidDel="00000000">
              <w:rPr>
                <w:rtl w:val="0"/>
              </w:rPr>
              <w:t xml:space="preserve"> punktu redakcijas un attiecīgi arī informāciju anotācijā.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noteikumos Nr. 512 plānotais 22.2. apakšpunkts paredz arī faktisko atlīdzības izmaksu piemērošanu, lūdzam izvērtēt, ar kuru brīdi piemērojami attiecīgie plānotie grozījumi.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vispārīgā gadījumā grozījumi tiesību aktā tiek piemēroti no to spēkā stāšanās dienas (ja vien nav atrunāts citādi), nevis ar atpakaļejošu spēku. Gadījumā, ja minētā norma piemērojama atpakaļejoši, lūdzam papildināt anotāciju ar atbilstošu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“Pašreizējā situācija, problēmas un risinājumi” apakšsadaļa “Risinājuma apraksts” papildināta ar informāciju, ka, ņemot vērā, ka CFLA, noslēdzot vienošanās ar finansējuma saņēmējiem par 3.1.2.1.i. investīcijas otrās kārtas projektu īstenošanu, ir akceptējusi dažādas pieejas projekta vadības un īstenošanas personāla izmaksu plānošanai, šīs izmaiņas ir attiecināmas no vienošanās par projekta īstenošanu noslēgšanas dienas.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anotāciju ar skaidrojumu par plānoto rīcību gadījumos, kad mērķa grupas persona un/vai tās mājoklis nav atbilstoši izvērtēts, bet pēc būtības atbilst noteikumu pielikumā norādītajiem kritērijiem, paredzot iespēju atkārtoti izvērtēt mērķa grupas personas un tās mājokļa atbilstību noteikumu pielikumā paredzētajiem kritērijiem, kā arī precizēt, vai veiktajai pārvērtēšanai ir ietekme uz izmaksu attiecināmības periodu.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esošo MK noteikumu III. sadaļā “Mērķa grupas atlases kartība” ir detalizētas veicamās rīcības, nenosakot specifisku laika ietvaru, savukārt, AF finansējuma attiecināmība ir pamatojama ar projektam saistošā atskaites punkta un mērķrādītāja sasniegšanu (29. punkts).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noteikumu projekts paredz palielināt finansējuma apmēru par 456 691 euro, aicinām papildināt anotācijas 1.3. sadaļas apakšsadaļu "Risinājumu apraksts" ar informāciju, vērtējot iespēju nacionāli palielināt rādītāju (atskaites punkts / mērķis) sasniedzamo vērtību, tādējādi nodrošinot rezervi ("drošības spilvenu") personu skaitam, kuriem veikta mājokļa pielāgošana. Piemēram, gadījumos, kad persona ir mainījusi dzīvesvietu, persona ir mirusi vai atrodas bezvēsts prombūtnē, utt.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1.6. sadaļa “Cita informācija” papildināta ar informāciju, ka 3.1.2.1.i. investīcijas otrās kārtas mērķa grupas personu dalības pārtraukšanas gadījumā pašvaldības parasti meklē citas personas, ko iekļaut projektā tās personas vietā, kas dažādu iemeslu dēļ pārtrauc dalību projektā. Ja kāda pašvaldība pieteiks ministrijā interesi projektā iekļaut papildu personas, palielināt tai šobrīd piešķirto kvotu (ir saņemts šāds pieprasījums no Krāslavas novada pašvaldības), ministrija piešķirs papildu kvotu (-as) un, ja nepieciešams, finansējumu papildu personu atbalstam no 3.1.2.1.i. investīcijai pieejamā finansējuma. Tādējādi tiks veidots “drošības spilvens” MK noteikumu Nr. 7.2. apakšpunktā noteiktā mērķrādītāja sasniegšanai.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viennozīmīgai izpratnei papildināt noteikumu projekta anotācijas 1.6.sadaļu ar informāciju par to, vai, ņemot vērā noteikumu projektā plānotos grozījumus, tiks veikti grozījumi noslēgtajos līgumos un vienošanās par projekta īstenošanu un vai tie būs uzskatāmi par būtiskiem.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papildināt anotāciju ar informāciju, vai un kādā veidā ir plānota visu finansējuma saņēmēju informēšana par grozījumiem, pēc to apstiprināšanas MK.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1.6. sadaļa “Cita informācija” papildināta, paredzot, ka CFLA kā līgumslēdzējs informēs finansējuma saņēmējus par MK noteikumu Nr. 512 grozījumiem, vienlaikus lūdzot pārskatīt projektos paredzēto un nepieciešamības gadījumā tiks veikti attiecīgi grozījumi. Tāpat papildināts, ka LM ieskatā projektu grozījumi, ja tādi būs nepieciešami, nebūs būtiski, jo tie nemainīs projekta mērķi un sasniedzamo atskaites punktu un mērķrādītāju pēc būtības.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tiek veiktas izmaiņas noteikumu Nr. 512 3. pielikumā attiecībā uz personas datu apstrādi, lūdzam aizpildīt anotācijas 8.1.13. apakšsadaļu, kā arī izvērtēt iespēju saskaņot noteikumu projektu ar Datu valsts inspekciju.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sadaļa 8.1.13. uz datu aizsardzību papildināta. Noteikumu projekta 3. pielikums neparedz ne šaurāku, ne plašāku personas datu apjomu, salīdzinot ar šobrīd veicamo, kā arī nemaina citus personas datu apstrādes nosacījumus.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2023. gada 5. septembra noteikumos Nr. 512 "Eiropas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īstenošanas noteikumi""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Eiropas Savienības Atveseļošanas un noturības mehānisma (turpmāk - AF) plāna 3.1. reformu un investīciju virzienu "Reģionālā politika" </w:t>
            </w:r>
            <w:r w:rsidR="00000000" w:rsidRPr="00000000" w:rsidDel="00000000">
              <w:rPr>
                <w:b w:val="1"/>
                <w:rtl w:val="0"/>
              </w:rPr>
              <w:t xml:space="preserve">3.1.2.1.i. investīcijas</w:t>
            </w:r>
            <w:r w:rsidR="00000000" w:rsidRPr="00000000" w:rsidDel="00000000">
              <w:rPr>
                <w:rtl w:val="0"/>
              </w:rPr>
              <w:t xml:space="preserve"> "Publisko pakalpojumu un nodarbinātības pieejamības veicināšanas pasākumi cilvēkiem ar funkcionāliem traucējumiem" </w:t>
            </w:r>
            <w:r w:rsidR="00000000" w:rsidRPr="00000000" w:rsidDel="00000000">
              <w:rPr>
                <w:b w:val="1"/>
                <w:rtl w:val="0"/>
              </w:rPr>
              <w:t xml:space="preserve">pirmās kārtas</w:t>
            </w:r>
            <w:r w:rsidR="00000000" w:rsidRPr="00000000" w:rsidDel="00000000">
              <w:rPr>
                <w:rtl w:val="0"/>
              </w:rPr>
              <w:t xml:space="preserve"> "Valsts un pašvaldību ēku vides pieejamības nodrošināšanas pasākumi" </w:t>
            </w:r>
            <w:r w:rsidR="00000000" w:rsidRPr="00000000" w:rsidDel="00000000">
              <w:rPr>
                <w:b w:val="1"/>
                <w:rtl w:val="0"/>
              </w:rPr>
              <w:t xml:space="preserve">un</w:t>
            </w:r>
            <w:r w:rsidR="00000000" w:rsidRPr="00000000" w:rsidDel="00000000">
              <w:rPr>
                <w:rtl w:val="0"/>
              </w:rPr>
              <w:t xml:space="preserve"> AF 3.1. reformu un investīciju virziena "Reģionālā politika" 3.1.2.r. reformas "Sociālo un nodarbinātības pakalpojumu pieejamība minimālo ienākumu reformas atbalstam" </w:t>
            </w:r>
            <w:r w:rsidR="00000000" w:rsidRPr="00000000" w:rsidDel="00000000">
              <w:rPr>
                <w:b w:val="1"/>
                <w:rtl w:val="0"/>
              </w:rPr>
              <w:t xml:space="preserve">3.1.2.2.i. investīcijas</w:t>
            </w:r>
            <w:r w:rsidR="00000000" w:rsidRPr="00000000" w:rsidDel="00000000">
              <w:rPr>
                <w:rtl w:val="0"/>
              </w:rPr>
              <w:t xml:space="preserve"> "Prognozēšanas rīka izstrāde sociālās apdrošināšanas sistēmas ilgtermiņa prognozēm, sistēmas ilgtermiņa stabilitātes izvērtēšanai un nodrošināšanai" </w:t>
            </w:r>
            <w:r w:rsidR="00000000" w:rsidRPr="00000000" w:rsidDel="00000000">
              <w:rPr>
                <w:b w:val="1"/>
                <w:rtl w:val="0"/>
              </w:rPr>
              <w:t xml:space="preserve">finansējuma atbrīvošanu</w:t>
            </w:r>
            <w:r w:rsidR="00000000" w:rsidRPr="00000000" w:rsidDel="00000000">
              <w:rPr>
                <w:rtl w:val="0"/>
              </w:rPr>
              <w:t xml:space="preserve"> vai Labklājības ministrijai papildināt noteikumu projekta pavadošo dokumentāciju ar Ministru kabineta (turpmāk - MK) sēdes protokollēmuma projektu, kas paredz uzdevumu līgumslēdzējam veikt attiecīgus grozījumus līgumos/ vienošanās par projekta īstenošanu, vai nozares ministrijas izdotajā iekšējā normatīvajā aktā, lai nodrošinātu finansējuma atbrīvošanu.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3.1.2.1.i. investīcijas "Publisko pakalpojumu un nodarbinātības pieejamības veicināšanas pasākumi cilvēkiem ar funkcionāliem traucējumiem" pirmās kārtas "Valsts un pašvaldību ēku vides pieejamības nodrošināšanas pasākumi" MK noteikumu Nr. 582 grozījumi (26-TA-515), kas paredz atbrīvot Atveseļošanas fonda finansējumu, atrodas starpinstitūciju saskaņošanas procesā Tiesību aktu portālā (atzinumu sniegšanas termiņš bija 2026. gada 16. marts, tuvākajā laikā tiks organizēta atkārtota saskaņošana).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3.1.2.2.i. investīcijas "Prognozēšanas rīka izstrāde sociālās apdrošināšanas sistēmas ilgtermiņa prognozēm, sistēmas ilgtermiņa stabilitātes izvērtēšanai un nodrošināšanai" MK noteikumu Nr. 374 grozījumi, kas paredz atbrīvot Atveseļošanas fonda finansējumu, atrodas atkārtotā starpinstitūciju saskaņošanas procesā Tiesību aktu portālā (atzinumu sniegšanas termiņš bija 2026. gada 18. marts, MK noteikumu Nr. 374 grozījumi precizēti atbilstoši izteiktajiem priekšlikumiem un tuvākajā laikā tiks iesniegti izskatīšanai MK).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2023. gada 5. septembra noteikumos Nr. 512 "Eiropas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īstenošanas noteikumi""</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Kritēriju piemērošanas vadlīnijas mērķa grupas personas un tās mājokļa atbilstības noteikšanai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noteikumu 3. pielikumā pievienotās vadlīnijas noteikumu 4. pielikuma 4.1.8. kritērija piemērošanai, ņemot vērā, ka pašvaldību sociālie dienesti ir dažādi interpretējuši komunālo pakalpojumu jēdzienu, tā kā tas noteikumu 3. pielikumā vērtēšanas brīdī spēkā esošajā redakcijā nav bijis skaidri definēts. Tādējādi vairākos gadījumos, lai gūtu pārliecību par mērķa grupas personas mājokļa atbilstību 4.1.8. kritērijam, pašvaldību sociālie dienesti nav lūguši uzrādīt informāciju par elektroenerģijas/gāzes piegādi, jo atbilstoši Dzīvokļa īpašuma likuma 13.¹ pantā norādītajam, komunālo maksājumu parāds tiek piesaistīts dzīvoklim (īpašumam), savukārt parādi par elektroenerģijas/ gāzes piegādi, internetu u.c. pakalpojumiem tiek piesaistīti konkrētai personai/līgumam.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precizētas MK noteikumu Nr. 512 3. pielikumā pievienotās vadlīnijas 4.1.8. kritērija piemērošanai.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Kritēriju piemērošanas vadlīnijas mērķa grupas personas un tās mājokļa atbilstības noteikšanai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noteikumu 3. pielikuma 2. kritērija piezīmi ("</w:t>
            </w:r>
            <w:r w:rsidR="00000000" w:rsidRPr="00000000" w:rsidDel="00000000">
              <w:rPr>
                <w:i w:val="1"/>
                <w:rtl w:val="0"/>
              </w:rPr>
              <w:t xml:space="preserve">Vienlaikus tiek piemērota aktuālā Ministru kabineta noteikumu Nr. 878 redakcija vai tā redakcija, kas bija spēkā lēmuma pieņemšanas brīdī.</w:t>
            </w:r>
            <w:r w:rsidR="00000000" w:rsidRPr="00000000" w:rsidDel="00000000">
              <w:rPr>
                <w:rtl w:val="0"/>
              </w:rPr>
              <w:t xml:space="preserve">"), tās nepieciešamību un mērķi, un vai nu precizēt projektu, vai sniegt izvērstāku skaidrojumu par tā piemērošanu anotācijā.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pielikuma 2. kritērija piezīme ir svītrota.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Mērķa grupas personas un tās mājokļa atbilstības izvērtējums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noteikumu 4. pielikumu atbilstoši noteikumu 3. pielikumā paredzētajām izmaiņām, tostarp atbilstoši veiktajiem grozījumiem Ministru kabineta 2021. gada 21. decembra noteikumos Nr. 878 "Tehnisko palīglīdzekļu noteikumi".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Nr. 512 4. pielikums.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Mērķa grupas personas un tās mājokļa atbilstības izvērtējums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26-TA-296</w:t>
    </w:r>
    <w:r>
      <w:br/>
    </w:r>
    <w:r w:rsidR="00000000" w:rsidRPr="00000000" w:rsidDel="00000000">
      <w:rPr>
        <w:rtl w:val="0"/>
      </w:rPr>
      <w:t xml:space="preserve">15.04.2026. 12.10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26-TA-296</w:t>
    </w:r>
    <w:r>
      <w:br/>
    </w:r>
    <w:r w:rsidR="00000000" w:rsidRPr="00000000" w:rsidDel="00000000">
      <w:rPr>
        <w:rtl w:val="0"/>
      </w:rPr>
      <w:t xml:space="preserve">15.04.2026. 12.10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Izziņa_26-TA-296.docx</dc:title>
</cp:coreProperties>
</file>

<file path=docProps/custom.xml><?xml version="1.0" encoding="utf-8"?>
<Properties xmlns="http://schemas.openxmlformats.org/officeDocument/2006/custom-properties" xmlns:vt="http://schemas.openxmlformats.org/officeDocument/2006/docPropsVTypes"/>
</file>