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55642" w:rsidRPr="00D55642" w:rsidRDefault="0005047F"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2620645" cy="0"/>
                <wp:effectExtent l="7620" t="8255" r="10160" b="10795"/>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06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F0108B" id="_x0000_t32" coordsize="21600,21600" o:spt="32" o:oned="t" path="m,l21600,21600e" filled="f">
                <v:path arrowok="t" fillok="f" o:connecttype="none"/>
                <o:lock v:ext="edit" shapetype="t"/>
              </v:shapetype>
              <v:shape id="AutoShape 1" o:spid="_x0000_s1026" type="#_x0000_t32" style="position:absolute;margin-left:0;margin-top:80.55pt;width:206.3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" strokeweight=".25pt">
                <w10:wrap type="square"/>
              </v:shape>
            </w:pict>
          </mc:Fallback>
        </mc:AlternateContent>
      </w:r>
      <w:r>
        <w:rPr>
          <w:noProof/>
          <w:lang w:eastAsia="lv-LV"/>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2809875" cy="505460"/>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1135" cy="262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9747" w:type="dxa"/>
        <w:tblLayout w:type="fixed"/>
        <w:tblLook w:val="04A0" w:firstRow="1" w:lastRow="0" w:firstColumn="1" w:lastColumn="0" w:noHBand="0" w:noVBand="1"/>
      </w:tblPr>
      <w:tblGrid>
        <w:gridCol w:w="3227"/>
        <w:gridCol w:w="3260"/>
        <w:gridCol w:w="3260"/>
      </w:tblGrid>
      <w:tr w:rsidR="00146AE3" w:rsidTr="00172B68">
        <w:tc>
          <w:tcPr>
            <w:tcW w:w="3227" w:type="dxa"/>
            <w:hideMark/>
          </w:tcPr>
          <w:p w:rsidR="00172B68" w:rsidRDefault="00172B68">
            <w:pPr>
              <w:spacing w:after="0" w:line="240" w:lineRule="auto"/>
              <w:jc w:val="both"/>
              <w:rPr>
                <w:rFonts w:ascii="Times New Roman" w:hAnsi="Times New Roman"/>
                <w:sz w:val="28"/>
                <w:szCs w:val="24"/>
              </w:rPr>
            </w:pPr>
            <w:r>
              <w:rPr>
                <w:rFonts w:ascii="Times New Roman" w:hAnsi="Times New Roman"/>
                <w:noProof/>
                <w:sz w:val="28"/>
                <w:szCs w:val="24"/>
              </w:rPr>
              <w:t>06.09.2021</w:t>
            </w:r>
          </w:p>
        </w:tc>
        <w:tc>
          <w:tcPr>
            <w:tcW w:w="3260" w:type="dxa"/>
            <w:hideMark/>
          </w:tcPr>
          <w:p w:rsidR="00172B68" w:rsidRDefault="00172B68">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1-57/2461</w:t>
            </w:r>
          </w:p>
        </w:tc>
        <w:tc>
          <w:tcPr>
            <w:tcW w:w="3260" w:type="dxa"/>
            <w:vMerge w:val="restart"/>
            <w:hideMark/>
          </w:tcPr>
          <w:p w:rsidR="00172B68" w:rsidRDefault="004B7FAD">
            <w:pPr>
              <w:spacing w:after="0" w:line="240" w:lineRule="auto"/>
              <w:jc w:val="both"/>
              <w:rPr>
                <w:rFonts w:ascii="Times New Roman" w:hAnsi="Times New Roman"/>
                <w:sz w:val="28"/>
                <w:szCs w:val="24"/>
              </w:rPr>
            </w:pPr>
            <w:r>
              <w:rPr>
                <w:rFonts w:ascii="Times New Roman" w:hAnsi="Times New Roman"/>
                <w:noProof/>
                <w:sz w:val="28"/>
                <w:szCs w:val="24"/>
              </w:rPr>
              <w:t xml:space="preserve">    </w:t>
            </w:r>
            <w:r w:rsidR="00172B68">
              <w:rPr>
                <w:rFonts w:ascii="Times New Roman" w:hAnsi="Times New Roman"/>
                <w:noProof/>
                <w:sz w:val="28"/>
                <w:szCs w:val="24"/>
              </w:rPr>
              <w:t>Finanšu ministrijai</w:t>
            </w:r>
          </w:p>
          <w:p w:rsidR="00172B68" w:rsidRDefault="00172B68">
            <w:pPr>
              <w:spacing w:after="0" w:line="240" w:lineRule="auto"/>
              <w:jc w:val="both"/>
              <w:rPr>
                <w:rFonts w:ascii="Times New Roman" w:hAnsi="Times New Roman"/>
                <w:sz w:val="28"/>
                <w:szCs w:val="24"/>
              </w:rPr>
            </w:pPr>
          </w:p>
        </w:tc>
      </w:tr>
      <w:tr w:rsidR="00146AE3" w:rsidTr="00172B68">
        <w:tc>
          <w:tcPr>
            <w:tcW w:w="3227" w:type="dxa"/>
            <w:hideMark/>
          </w:tcPr>
          <w:p w:rsidR="004B7FAD" w:rsidRDefault="004B7FAD" w:rsidP="00172B68">
            <w:pPr>
              <w:spacing w:after="0"/>
              <w:rPr>
                <w:rFonts w:ascii="Times New Roman" w:hAnsi="Times New Roman"/>
                <w:sz w:val="28"/>
                <w:szCs w:val="24"/>
              </w:rPr>
            </w:pPr>
          </w:p>
          <w:p w:rsidR="00172B68" w:rsidRPr="00172B68" w:rsidRDefault="00172B68" w:rsidP="00172B68">
            <w:pPr>
              <w:spacing w:after="0"/>
              <w:rPr>
                <w:rFonts w:ascii="Times New Roman" w:hAnsi="Times New Roman"/>
                <w:sz w:val="28"/>
                <w:szCs w:val="28"/>
              </w:rPr>
            </w:pPr>
            <w:r>
              <w:rPr>
                <w:rFonts w:ascii="Times New Roman" w:hAnsi="Times New Roman"/>
                <w:sz w:val="28"/>
                <w:szCs w:val="24"/>
              </w:rPr>
              <w:t xml:space="preserve">Uz </w:t>
            </w:r>
            <w:r w:rsidRPr="00172B68">
              <w:rPr>
                <w:rFonts w:ascii="Times New Roman" w:hAnsi="Times New Roman"/>
                <w:sz w:val="28"/>
                <w:szCs w:val="28"/>
              </w:rPr>
              <w:t xml:space="preserve"> 19.08.2021. VSS </w:t>
            </w:r>
          </w:p>
          <w:p w:rsidR="00172B68" w:rsidRDefault="00172B68">
            <w:pPr>
              <w:spacing w:after="0" w:line="240" w:lineRule="auto"/>
              <w:jc w:val="both"/>
              <w:rPr>
                <w:rFonts w:ascii="Times New Roman" w:hAnsi="Times New Roman"/>
                <w:sz w:val="28"/>
                <w:szCs w:val="24"/>
              </w:rPr>
            </w:pPr>
          </w:p>
        </w:tc>
        <w:tc>
          <w:tcPr>
            <w:tcW w:w="3260" w:type="dxa"/>
          </w:tcPr>
          <w:p w:rsidR="004B7FAD" w:rsidRDefault="004B7FAD">
            <w:pPr>
              <w:spacing w:after="0" w:line="240" w:lineRule="auto"/>
              <w:jc w:val="both"/>
              <w:rPr>
                <w:rFonts w:ascii="Times New Roman" w:hAnsi="Times New Roman"/>
                <w:sz w:val="28"/>
                <w:szCs w:val="28"/>
              </w:rPr>
            </w:pPr>
          </w:p>
          <w:p w:rsidR="00172B68" w:rsidRDefault="00172B68">
            <w:pPr>
              <w:spacing w:after="0" w:line="240" w:lineRule="auto"/>
              <w:jc w:val="both"/>
              <w:rPr>
                <w:rFonts w:ascii="Times New Roman" w:hAnsi="Times New Roman"/>
                <w:sz w:val="28"/>
                <w:szCs w:val="24"/>
              </w:rPr>
            </w:pPr>
            <w:r w:rsidRPr="00172B68">
              <w:rPr>
                <w:rFonts w:ascii="Times New Roman" w:hAnsi="Times New Roman"/>
                <w:sz w:val="28"/>
                <w:szCs w:val="28"/>
              </w:rPr>
              <w:t>prot. Nr.29, 6.§</w:t>
            </w:r>
            <w:r w:rsidRPr="00172B68">
              <w:rPr>
                <w:rFonts w:ascii="Times New Roman" w:hAnsi="Times New Roman"/>
                <w:sz w:val="28"/>
                <w:szCs w:val="28"/>
              </w:rPr>
              <w:tab/>
            </w:r>
          </w:p>
        </w:tc>
        <w:tc>
          <w:tcPr>
            <w:tcW w:w="3260" w:type="dxa"/>
            <w:vMerge/>
          </w:tcPr>
          <w:p w:rsidR="00172B68" w:rsidRDefault="00172B68">
            <w:pPr>
              <w:spacing w:after="0" w:line="240" w:lineRule="auto"/>
              <w:jc w:val="both"/>
              <w:rPr>
                <w:rFonts w:ascii="Times New Roman" w:hAnsi="Times New Roman"/>
                <w:sz w:val="28"/>
                <w:szCs w:val="24"/>
              </w:rPr>
            </w:pPr>
          </w:p>
        </w:tc>
      </w:tr>
    </w:tbl>
    <w:p w:rsidR="00735284" w:rsidRPr="00320697" w:rsidRDefault="00735284" w:rsidP="00735284">
      <w:pPr>
        <w:widowControl/>
        <w:tabs>
          <w:tab w:val="left" w:pos="-1701"/>
        </w:tabs>
        <w:spacing w:after="0" w:line="240" w:lineRule="auto"/>
        <w:rPr>
          <w:rFonts w:ascii="Times New Roman" w:eastAsia="Times New Roman" w:hAnsi="Times New Roman"/>
          <w:sz w:val="28"/>
          <w:szCs w:val="28"/>
        </w:rPr>
      </w:pPr>
      <w:r w:rsidRPr="00320697">
        <w:rPr>
          <w:rFonts w:ascii="Times New Roman" w:eastAsia="Times New Roman" w:hAnsi="Times New Roman"/>
          <w:noProof/>
          <w:sz w:val="28"/>
          <w:szCs w:val="28"/>
        </w:rPr>
        <w:t>Par noteikumu projektu “Grāmatvedības kārtošanas noteikumi” (VSS-755)</w:t>
      </w:r>
    </w:p>
    <w:p w:rsidR="00735284" w:rsidRDefault="00735284" w:rsidP="00735284">
      <w:pPr>
        <w:spacing w:after="0" w:line="240" w:lineRule="auto"/>
        <w:rPr>
          <w:rFonts w:ascii="Times New Roman" w:hAnsi="Times New Roman"/>
          <w:sz w:val="28"/>
          <w:szCs w:val="28"/>
        </w:rPr>
      </w:pPr>
    </w:p>
    <w:p w:rsidR="00172B68" w:rsidRPr="00172B68" w:rsidRDefault="00172B68" w:rsidP="00172B68">
      <w:pPr>
        <w:widowControl/>
        <w:spacing w:after="0" w:line="240" w:lineRule="auto"/>
        <w:jc w:val="both"/>
        <w:rPr>
          <w:rFonts w:ascii="Times New Roman" w:eastAsia="Times New Roman" w:hAnsi="Times New Roman"/>
          <w:sz w:val="28"/>
          <w:szCs w:val="28"/>
        </w:rPr>
      </w:pPr>
      <w:r w:rsidRPr="00172B68">
        <w:rPr>
          <w:rFonts w:ascii="Times New Roman" w:eastAsia="Times New Roman" w:hAnsi="Times New Roman"/>
          <w:sz w:val="28"/>
          <w:szCs w:val="28"/>
        </w:rPr>
        <w:t xml:space="preserve">     Iekšlietu ministrija ir izskatījusi Finanšu ministrijas sagatavoto Ministru kabineta noteikumu projektu “Grāmatvedības kārtošanas noteikumi” (turpmāk – noteikumu projekts), un tā sākotnējās ietekmes novērtējuma ziņojumu (anotāciju) un atbalsta tā tālāko virzību, izsakot šādus iebildumus.</w:t>
      </w:r>
    </w:p>
    <w:p w:rsidR="00172B68" w:rsidRPr="00172B68" w:rsidRDefault="00172B68" w:rsidP="00172B68">
      <w:pPr>
        <w:widowControl/>
        <w:spacing w:after="0" w:line="240" w:lineRule="auto"/>
        <w:jc w:val="both"/>
        <w:rPr>
          <w:rFonts w:ascii="Times New Roman" w:eastAsia="Times New Roman" w:hAnsi="Times New Roman"/>
          <w:sz w:val="28"/>
          <w:szCs w:val="28"/>
        </w:rPr>
      </w:pPr>
    </w:p>
    <w:p w:rsidR="00172B68" w:rsidRPr="00172B68" w:rsidRDefault="00172B68" w:rsidP="00172B68">
      <w:pPr>
        <w:widowControl/>
        <w:numPr>
          <w:ilvl w:val="0"/>
          <w:numId w:val="12"/>
        </w:numPr>
        <w:spacing w:after="0" w:line="240" w:lineRule="auto"/>
        <w:jc w:val="both"/>
        <w:rPr>
          <w:rFonts w:ascii="Times New Roman" w:eastAsia="Times New Roman" w:hAnsi="Times New Roman"/>
          <w:sz w:val="28"/>
          <w:szCs w:val="28"/>
        </w:rPr>
      </w:pPr>
      <w:r w:rsidRPr="00172B68">
        <w:rPr>
          <w:rFonts w:ascii="Times New Roman" w:eastAsia="Times New Roman" w:hAnsi="Times New Roman"/>
          <w:sz w:val="28"/>
          <w:szCs w:val="28"/>
        </w:rPr>
        <w:t>Precizēt noteikumu projekta 41.punkta pirmā teikuma redakciju, jo ja uzņēmuma vadītājam vai darbiniekam izsniegta personificēta maksājumu karte, ar kuru  iegādātas preces vai saņemti pakalpojumi saimniecisko darījumu nodrošināšanai, tiek ievērotas noteikumu projekta 38., 39., 40. punktā minētās  prasības, t.sk. par pievienojamiem izdevumus apliecinošajiem dokumentiem,  izņemot  ārvalstīs izsniegtajiem apliecinošajiem dokumentiem.</w:t>
      </w:r>
    </w:p>
    <w:p w:rsidR="00172B68" w:rsidRPr="00172B68" w:rsidRDefault="00172B68" w:rsidP="00172B68">
      <w:pPr>
        <w:widowControl/>
        <w:numPr>
          <w:ilvl w:val="0"/>
          <w:numId w:val="12"/>
        </w:numPr>
        <w:spacing w:after="0" w:line="240" w:lineRule="auto"/>
        <w:jc w:val="both"/>
        <w:rPr>
          <w:rFonts w:ascii="Times New Roman" w:eastAsia="Times New Roman" w:hAnsi="Times New Roman"/>
          <w:sz w:val="28"/>
          <w:szCs w:val="28"/>
        </w:rPr>
      </w:pPr>
      <w:r w:rsidRPr="00172B68">
        <w:rPr>
          <w:rFonts w:ascii="Times New Roman" w:eastAsia="Times New Roman" w:hAnsi="Times New Roman"/>
          <w:sz w:val="28"/>
          <w:szCs w:val="28"/>
        </w:rPr>
        <w:t>Papildināt noteikumu projekta 82.punktu, nosakot, kādu no statistikas metodēm būtu jāpiemēro veicot vienādu kustamo ķermenisko lietu inventarizāciju, jo statistikas metodes ir vairākas un tās nav plaši aprakstītas.</w:t>
      </w:r>
    </w:p>
    <w:p w:rsidR="00172B68" w:rsidRPr="00172B68" w:rsidRDefault="00172B68" w:rsidP="00172B68">
      <w:pPr>
        <w:widowControl/>
        <w:numPr>
          <w:ilvl w:val="0"/>
          <w:numId w:val="12"/>
        </w:numPr>
        <w:spacing w:after="0" w:line="240" w:lineRule="auto"/>
        <w:jc w:val="both"/>
        <w:rPr>
          <w:rFonts w:ascii="Times New Roman" w:eastAsia="Times New Roman" w:hAnsi="Times New Roman"/>
          <w:sz w:val="28"/>
          <w:szCs w:val="28"/>
        </w:rPr>
      </w:pPr>
      <w:r w:rsidRPr="00172B68">
        <w:rPr>
          <w:rFonts w:ascii="Times New Roman" w:eastAsia="Times New Roman" w:hAnsi="Times New Roman"/>
          <w:sz w:val="28"/>
          <w:szCs w:val="28"/>
        </w:rPr>
        <w:t>Papildināt noteikumu projekta nodaļu “9.1.Inventarizācijas metodes”, norādot, ar kādām inventarizācijas metodēm būtu jāveic  ķermenisko lietu inventarizācija, ja tās lieto iestādes nodarbinātājs, kas pilda savus darba (dienesta) pienākumus ārvalstīs (piemēram, atašejs, sakaru virsnieks, Frontex operācijās iesaistītās amatpersonas) un inventarizācijas komisijai tās nav iespējas apskatīt.</w:t>
      </w:r>
    </w:p>
    <w:p w:rsidR="00172B68" w:rsidRPr="00172B68" w:rsidRDefault="00172B68" w:rsidP="00172B68">
      <w:pPr>
        <w:widowControl/>
        <w:spacing w:after="0" w:line="240" w:lineRule="auto"/>
        <w:ind w:left="720"/>
        <w:jc w:val="both"/>
        <w:rPr>
          <w:rFonts w:ascii="Times New Roman" w:eastAsia="Times New Roman" w:hAnsi="Times New Roman"/>
          <w:sz w:val="28"/>
          <w:szCs w:val="28"/>
        </w:rPr>
      </w:pPr>
    </w:p>
    <w:p w:rsidR="00172B68" w:rsidRPr="00172B68" w:rsidRDefault="00172B68" w:rsidP="00172B68">
      <w:pPr>
        <w:spacing w:after="0" w:line="240" w:lineRule="auto"/>
        <w:jc w:val="both"/>
        <w:rPr>
          <w:rFonts w:ascii="Times New Roman" w:hAnsi="Times New Roman"/>
          <w:sz w:val="26"/>
          <w:szCs w:val="26"/>
        </w:rPr>
      </w:pPr>
      <w:r w:rsidRPr="00172B68">
        <w:rPr>
          <w:rFonts w:ascii="Times New Roman" w:hAnsi="Times New Roman"/>
          <w:sz w:val="28"/>
          <w:szCs w:val="28"/>
        </w:rPr>
        <w:t xml:space="preserve">Valsts sekretārs </w:t>
      </w:r>
      <w:r w:rsidRPr="00172B68">
        <w:rPr>
          <w:rFonts w:ascii="Times New Roman" w:hAnsi="Times New Roman"/>
          <w:sz w:val="28"/>
          <w:szCs w:val="28"/>
        </w:rPr>
        <w:tab/>
      </w:r>
      <w:r w:rsidRPr="00172B68">
        <w:rPr>
          <w:rFonts w:ascii="Times New Roman" w:hAnsi="Times New Roman"/>
          <w:sz w:val="28"/>
          <w:szCs w:val="28"/>
        </w:rPr>
        <w:tab/>
      </w:r>
      <w:r w:rsidRPr="00172B68">
        <w:rPr>
          <w:rFonts w:ascii="Times New Roman" w:hAnsi="Times New Roman"/>
          <w:sz w:val="28"/>
          <w:szCs w:val="28"/>
        </w:rPr>
        <w:tab/>
      </w:r>
      <w:r w:rsidRPr="00172B68">
        <w:rPr>
          <w:rFonts w:ascii="Times New Roman" w:hAnsi="Times New Roman"/>
          <w:sz w:val="28"/>
          <w:szCs w:val="28"/>
        </w:rPr>
        <w:tab/>
      </w:r>
      <w:r w:rsidRPr="00172B68">
        <w:rPr>
          <w:rFonts w:ascii="Times New Roman" w:hAnsi="Times New Roman"/>
          <w:sz w:val="28"/>
          <w:szCs w:val="28"/>
        </w:rPr>
        <w:tab/>
      </w:r>
      <w:r w:rsidRPr="00172B68">
        <w:rPr>
          <w:rFonts w:ascii="Times New Roman" w:hAnsi="Times New Roman"/>
          <w:sz w:val="28"/>
          <w:szCs w:val="28"/>
        </w:rPr>
        <w:tab/>
      </w:r>
      <w:r w:rsidRPr="00172B68">
        <w:rPr>
          <w:rFonts w:ascii="Times New Roman" w:hAnsi="Times New Roman"/>
          <w:sz w:val="28"/>
          <w:szCs w:val="28"/>
        </w:rPr>
        <w:tab/>
        <w:t xml:space="preserve">  D.Trofimovs                                                                   </w:t>
      </w:r>
    </w:p>
    <w:tbl>
      <w:tblPr>
        <w:tblW w:w="0" w:type="auto"/>
        <w:tblLook w:val="04A0" w:firstRow="1" w:lastRow="0" w:firstColumn="1" w:lastColumn="0" w:noHBand="0" w:noVBand="1"/>
      </w:tblPr>
      <w:tblGrid>
        <w:gridCol w:w="4542"/>
        <w:gridCol w:w="4543"/>
      </w:tblGrid>
      <w:tr w:rsidR="00146AE3" w:rsidTr="00172B68">
        <w:tc>
          <w:tcPr>
            <w:tcW w:w="4650" w:type="dxa"/>
          </w:tcPr>
          <w:p w:rsidR="00735284" w:rsidRDefault="00735284" w:rsidP="00172B68">
            <w:pPr>
              <w:spacing w:after="0" w:line="240" w:lineRule="auto"/>
              <w:rPr>
                <w:rFonts w:ascii="Times New Roman" w:hAnsi="Times New Roman"/>
                <w:sz w:val="28"/>
                <w:szCs w:val="28"/>
              </w:rPr>
            </w:pPr>
          </w:p>
        </w:tc>
        <w:tc>
          <w:tcPr>
            <w:tcW w:w="4651" w:type="dxa"/>
          </w:tcPr>
          <w:p w:rsidR="00735284" w:rsidRDefault="00735284">
            <w:pPr>
              <w:spacing w:after="0" w:line="240" w:lineRule="auto"/>
              <w:jc w:val="right"/>
              <w:rPr>
                <w:rFonts w:ascii="Times New Roman" w:hAnsi="Times New Roman"/>
                <w:sz w:val="28"/>
                <w:szCs w:val="28"/>
              </w:rPr>
            </w:pPr>
          </w:p>
        </w:tc>
      </w:tr>
    </w:tbl>
    <w:p w:rsidR="00EF39F9" w:rsidRPr="004B7FAD" w:rsidRDefault="00EF39F9" w:rsidP="00EF39F9">
      <w:pPr>
        <w:spacing w:after="0" w:line="240" w:lineRule="auto"/>
        <w:rPr>
          <w:rFonts w:ascii="Times New Roman" w:hAnsi="Times New Roman"/>
          <w:sz w:val="20"/>
          <w:szCs w:val="20"/>
        </w:rPr>
      </w:pPr>
      <w:r w:rsidRPr="004B7FAD">
        <w:rPr>
          <w:rFonts w:ascii="Times New Roman" w:hAnsi="Times New Roman"/>
          <w:noProof/>
          <w:sz w:val="20"/>
          <w:szCs w:val="20"/>
        </w:rPr>
        <w:t>Ludmila Gailīte</w:t>
      </w:r>
      <w:r w:rsidRPr="004B7FAD">
        <w:rPr>
          <w:rFonts w:ascii="Times New Roman" w:hAnsi="Times New Roman"/>
          <w:sz w:val="20"/>
          <w:szCs w:val="20"/>
        </w:rPr>
        <w:t xml:space="preserve">, </w:t>
      </w:r>
      <w:r w:rsidRPr="004B7FAD">
        <w:rPr>
          <w:rFonts w:ascii="Times New Roman" w:hAnsi="Times New Roman"/>
          <w:noProof/>
          <w:sz w:val="20"/>
          <w:szCs w:val="20"/>
        </w:rPr>
        <w:t>67219613</w:t>
      </w:r>
    </w:p>
    <w:p w:rsidR="00EF39F9" w:rsidRPr="004B7FAD" w:rsidRDefault="00EF39F9" w:rsidP="00EF39F9">
      <w:pPr>
        <w:spacing w:after="0" w:line="240" w:lineRule="auto"/>
        <w:rPr>
          <w:rFonts w:ascii="Times New Roman" w:hAnsi="Times New Roman"/>
          <w:sz w:val="20"/>
          <w:szCs w:val="20"/>
        </w:rPr>
      </w:pPr>
      <w:r w:rsidRPr="004B7FAD">
        <w:rPr>
          <w:rFonts w:ascii="Times New Roman" w:hAnsi="Times New Roman"/>
          <w:noProof/>
          <w:sz w:val="20"/>
          <w:szCs w:val="20"/>
        </w:rPr>
        <w:t>ludmila.gailite@iem.gov.lv</w:t>
      </w:r>
    </w:p>
    <w:p w:rsidR="00EF39F9" w:rsidRPr="004B7FAD" w:rsidRDefault="00EF39F9" w:rsidP="00EF39F9">
      <w:pPr>
        <w:spacing w:after="0" w:line="240" w:lineRule="auto"/>
        <w:rPr>
          <w:rFonts w:ascii="Times New Roman" w:hAnsi="Times New Roman"/>
          <w:sz w:val="20"/>
          <w:szCs w:val="20"/>
        </w:rPr>
      </w:pPr>
    </w:p>
    <w:p w:rsidR="004367B9" w:rsidRPr="00651581" w:rsidRDefault="00735284" w:rsidP="004B7FAD">
      <w:pPr>
        <w:spacing w:after="0" w:line="240" w:lineRule="auto"/>
        <w:jc w:val="center"/>
        <w:rPr>
          <w:rFonts w:ascii="Times New Roman" w:hAnsi="Times New Roman"/>
          <w:sz w:val="18"/>
          <w:szCs w:val="18"/>
        </w:rPr>
      </w:pPr>
      <w:r w:rsidRPr="004B7FAD">
        <w:rPr>
          <w:rFonts w:ascii="Times New Roman" w:hAnsi="Times New Roman"/>
          <w:sz w:val="24"/>
          <w:szCs w:val="24"/>
        </w:rPr>
        <w:t>DOKUMENTS PARAKSTĪTS AR DROŠU ELEKTRONISKO PARAKSTU UN SATUR LAIKA ZĪMOGU</w:t>
      </w: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A6" w:rsidRDefault="00C07FA6">
      <w:pPr>
        <w:spacing w:after="0" w:line="240" w:lineRule="auto"/>
      </w:pPr>
      <w:r>
        <w:separator/>
      </w:r>
    </w:p>
  </w:endnote>
  <w:endnote w:type="continuationSeparator" w:id="0">
    <w:p w:rsidR="00C07FA6" w:rsidRDefault="00C07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Footer"/>
      <w:jc w:val="center"/>
      <w:rPr>
        <w:rFonts w:ascii="Times New Roman" w:hAnsi="Times New Roman"/>
      </w:rPr>
    </w:pPr>
  </w:p>
  <w:p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01" w:rsidRPr="00021F01" w:rsidRDefault="00021F01">
    <w:pPr>
      <w:pStyle w:val="Footer"/>
      <w:rPr>
        <w:rFonts w:ascii="Times New Roman" w:hAnsi="Times New Roman"/>
      </w:rPr>
    </w:pPr>
    <w:r w:rsidRPr="00021F01">
      <w:rPr>
        <w:rFonts w:ascii="Times New Roman" w:hAnsi="Times New Roman"/>
      </w:rPr>
      <w:t>IEMatz_060921_VSS_755</w:t>
    </w:r>
  </w:p>
  <w:p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A6" w:rsidRDefault="00C07FA6">
      <w:pPr>
        <w:spacing w:after="0" w:line="240" w:lineRule="auto"/>
      </w:pPr>
      <w:r>
        <w:separator/>
      </w:r>
    </w:p>
  </w:footnote>
  <w:footnote w:type="continuationSeparator" w:id="0">
    <w:p w:rsidR="00C07FA6" w:rsidRDefault="00C07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2F7B31DA"/>
    <w:multiLevelType w:val="hybridMultilevel"/>
    <w:tmpl w:val="64CEA6C0"/>
    <w:lvl w:ilvl="0" w:tplc="2102D052">
      <w:start w:val="1"/>
      <w:numFmt w:val="decimal"/>
      <w:lvlText w:val="%1."/>
      <w:lvlJc w:val="left"/>
      <w:pPr>
        <w:ind w:left="720" w:hanging="360"/>
      </w:pPr>
      <w:rPr>
        <w:rFonts w:hint="default"/>
      </w:rPr>
    </w:lvl>
    <w:lvl w:ilvl="1" w:tplc="72AEE9D6" w:tentative="1">
      <w:start w:val="1"/>
      <w:numFmt w:val="lowerLetter"/>
      <w:lvlText w:val="%2."/>
      <w:lvlJc w:val="left"/>
      <w:pPr>
        <w:ind w:left="1440" w:hanging="360"/>
      </w:pPr>
    </w:lvl>
    <w:lvl w:ilvl="2" w:tplc="3D6E2DD0" w:tentative="1">
      <w:start w:val="1"/>
      <w:numFmt w:val="lowerRoman"/>
      <w:lvlText w:val="%3."/>
      <w:lvlJc w:val="right"/>
      <w:pPr>
        <w:ind w:left="2160" w:hanging="180"/>
      </w:pPr>
    </w:lvl>
    <w:lvl w:ilvl="3" w:tplc="F310376E" w:tentative="1">
      <w:start w:val="1"/>
      <w:numFmt w:val="decimal"/>
      <w:lvlText w:val="%4."/>
      <w:lvlJc w:val="left"/>
      <w:pPr>
        <w:ind w:left="2880" w:hanging="360"/>
      </w:pPr>
    </w:lvl>
    <w:lvl w:ilvl="4" w:tplc="F04AF29E" w:tentative="1">
      <w:start w:val="1"/>
      <w:numFmt w:val="lowerLetter"/>
      <w:lvlText w:val="%5."/>
      <w:lvlJc w:val="left"/>
      <w:pPr>
        <w:ind w:left="3600" w:hanging="360"/>
      </w:pPr>
    </w:lvl>
    <w:lvl w:ilvl="5" w:tplc="42A2C6D6" w:tentative="1">
      <w:start w:val="1"/>
      <w:numFmt w:val="lowerRoman"/>
      <w:lvlText w:val="%6."/>
      <w:lvlJc w:val="right"/>
      <w:pPr>
        <w:ind w:left="4320" w:hanging="180"/>
      </w:pPr>
    </w:lvl>
    <w:lvl w:ilvl="6" w:tplc="A67C54BE" w:tentative="1">
      <w:start w:val="1"/>
      <w:numFmt w:val="decimal"/>
      <w:lvlText w:val="%7."/>
      <w:lvlJc w:val="left"/>
      <w:pPr>
        <w:ind w:left="5040" w:hanging="360"/>
      </w:pPr>
    </w:lvl>
    <w:lvl w:ilvl="7" w:tplc="593CB7F0" w:tentative="1">
      <w:start w:val="1"/>
      <w:numFmt w:val="lowerLetter"/>
      <w:lvlText w:val="%8."/>
      <w:lvlJc w:val="left"/>
      <w:pPr>
        <w:ind w:left="5760" w:hanging="360"/>
      </w:pPr>
    </w:lvl>
    <w:lvl w:ilvl="8" w:tplc="1D3E1DE4"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577"/>
    <w:rsid w:val="000169CE"/>
    <w:rsid w:val="00021F01"/>
    <w:rsid w:val="00030349"/>
    <w:rsid w:val="000466E7"/>
    <w:rsid w:val="0005047F"/>
    <w:rsid w:val="00053C57"/>
    <w:rsid w:val="00092CB0"/>
    <w:rsid w:val="000D541A"/>
    <w:rsid w:val="00121F6E"/>
    <w:rsid w:val="00124173"/>
    <w:rsid w:val="00127E58"/>
    <w:rsid w:val="00132130"/>
    <w:rsid w:val="00146AE3"/>
    <w:rsid w:val="00172B68"/>
    <w:rsid w:val="001C365A"/>
    <w:rsid w:val="001D69F2"/>
    <w:rsid w:val="001E5591"/>
    <w:rsid w:val="00217C7E"/>
    <w:rsid w:val="00275B9E"/>
    <w:rsid w:val="0027749D"/>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4B7FAD"/>
    <w:rsid w:val="0051400B"/>
    <w:rsid w:val="00520A93"/>
    <w:rsid w:val="00535564"/>
    <w:rsid w:val="005A1BCB"/>
    <w:rsid w:val="005C346B"/>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76177"/>
    <w:rsid w:val="00876C21"/>
    <w:rsid w:val="0088699D"/>
    <w:rsid w:val="00887D85"/>
    <w:rsid w:val="008D13B4"/>
    <w:rsid w:val="0095403B"/>
    <w:rsid w:val="00954D5A"/>
    <w:rsid w:val="00996108"/>
    <w:rsid w:val="009B0210"/>
    <w:rsid w:val="009F01EE"/>
    <w:rsid w:val="00A27A9F"/>
    <w:rsid w:val="00A44201"/>
    <w:rsid w:val="00A9424B"/>
    <w:rsid w:val="00AD474F"/>
    <w:rsid w:val="00B04502"/>
    <w:rsid w:val="00B72FB2"/>
    <w:rsid w:val="00B91CD1"/>
    <w:rsid w:val="00BD3CC7"/>
    <w:rsid w:val="00BD6774"/>
    <w:rsid w:val="00BE7479"/>
    <w:rsid w:val="00C07FA6"/>
    <w:rsid w:val="00C47F57"/>
    <w:rsid w:val="00C80A36"/>
    <w:rsid w:val="00C9108F"/>
    <w:rsid w:val="00C95BBC"/>
    <w:rsid w:val="00CE17EE"/>
    <w:rsid w:val="00CE607C"/>
    <w:rsid w:val="00CF3A42"/>
    <w:rsid w:val="00D21FA6"/>
    <w:rsid w:val="00D442EB"/>
    <w:rsid w:val="00D55642"/>
    <w:rsid w:val="00D55B4B"/>
    <w:rsid w:val="00DB76AE"/>
    <w:rsid w:val="00DC2F13"/>
    <w:rsid w:val="00DD194F"/>
    <w:rsid w:val="00DD656A"/>
    <w:rsid w:val="00DF6135"/>
    <w:rsid w:val="00E365CE"/>
    <w:rsid w:val="00E40CFB"/>
    <w:rsid w:val="00E436D8"/>
    <w:rsid w:val="00E84CE3"/>
    <w:rsid w:val="00E86986"/>
    <w:rsid w:val="00EC3999"/>
    <w:rsid w:val="00EE1DAE"/>
    <w:rsid w:val="00EF3368"/>
    <w:rsid w:val="00EF39F9"/>
    <w:rsid w:val="00F05AE8"/>
    <w:rsid w:val="00F14C3F"/>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737A1B4"/>
  <w15:chartTrackingRefBased/>
  <w15:docId w15:val="{F3D77C01-A066-4DAF-8254-42AB84B1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03F0F-E69E-49B0-8F9F-199C6E246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1177</Words>
  <Characters>672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Atzinums par Ministru kabineta noteikumu projektu "Grāmatvedības kārtošanass noteikumi"</vt:lpstr>
    </vt:vector>
  </TitlesOfParts>
  <Company>Iekšlietu ministrija</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noteikumu projektu "Grāmatvedības kārtošanass noteikumi"</dc:title>
  <dc:subject>Atzinums</dc:subject>
  <dc:creator>Ludmila Gailīte</dc:creator>
  <cp:keywords/>
  <dc:description>67219613_x000d_
ludmila.gailite@iem.gov.lv</dc:description>
  <cp:lastModifiedBy>Gunta Majevska</cp:lastModifiedBy>
  <cp:revision>3</cp:revision>
  <cp:lastPrinted>2021-01-22T08:28:00Z</cp:lastPrinted>
  <dcterms:created xsi:type="dcterms:W3CDTF">2021-09-07T08:20:00Z</dcterms:created>
  <dcterms:modified xsi:type="dcterms:W3CDTF">2021-09-07T08:25:00Z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