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Rail Baltica starptautisko staciju būvdarbiem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Ierobežotas pieejamības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5.lp. norādīts, ka punktveida objektu – RCS un RIX –  būvēšanu ir apstiprinājis MK, apstiprinot ar iepriekš minētajiem attiecīgajiem EISI pieteikumiem saistītos protokollēmumus, kā arī minēts, ka, pamatojoties uz MK lēmumiem un apstiprinātajiem CEF pieteikumiem un noslēgtajiem CEF līgumiem, ir noslēgti un tiek īstenoti RIX un RCS būvniecības līgumi. Lūdzam precizēt ziņojumā norādīto informāciju, jo MK ir atbalstījis EISI pieteikumus ar konkrētu pieejamo finansējumu, kuros ir iekļautas aktivitātes saistībā ar attiecīgo staciju būvniecību, tomēr MK nav lēmis par to, kādi būs staciju izbūves apjomi, kā arī nav lēmis par attiecīgo staciju būvniecības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8. lp. ir norādīta atsauce uz MK 2022. gada 5. aprīlī sēdē skatīto Ekonomikas ministrijas informatīvo ziņojumu “Par situāciju būvniecības nozarē saistībā ar Krievijas agresiju Ukrainā un nepieciešamajiem risinājumiem publisko investīciju projektos”, kurā ir sniegtas norādes līgumu slēdzējiem par indeksāciju, proti, indeksāciju var iekļaut līgumā, ja tiek nodrošināts finansējums, kā arī ziņojuma 14.lp. atsaucē Nr.9 ir norādīta Ekonomikas ministrijas izstrādātajā ziņojumā iekļautā informācija, ka pasūtītājam jānodrošina, ka netiek pārkāpti Likumā par budžetu un finanšu vadību paredzētie noteikumi, lai uzņemtos saistības, kā arī norādīts, ka slēdzot būvdarbu līgumu, būs jānodrošina arī tajā paredzētā indeksācijas nosacījumu izpilde, ņemot vērā, ka atbilstoši Likuma par budžetu un finanšu vadību 46.pantā noteiktajam uzņemtās saistības, kas pārsniedz piešķirto asignējumu vai pilnvaras plānotajām saistībām nākotnē, nav uzskatāmas par valsts saistībām. Ņemot vērā, ka no ziņojumā sniegtās informācijas secināms, ka papildu saistības tiek pieprasītas, lai saņemtu atļauju veikt apmaksu par jau izpildītiem darbiem, kam nebija pieejams finansējums, lūdzam ziņojumā skaidrot, kā ir izveidojusies situācija, ka ir pasūtīti darbi bez finansiāla seguma, kā arī vai un kāda būs Satiksmes ministrijas attiecīgā rīcība šajā jautājumā. Vēršam uzmanību, ka šobrīd norādītā informācija par ārējiem ģeopolitiskajiem apstākļiem un tehniskajām prasībām skaidro, kāpēc ir noticis izmaksu pieaugums, bet neskaidro, kāpēc nenotika darbu apjoma samazināšana, ievērojot pieejamos finanšu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17.lp. ir sniegta informācija par iespējamiem risinājumiem, lai mazinātu papildu ietekmi uz valsts budžetu, attiecībā uz tiem norādām, ka informācija jāsniedz pārskatāmā formātā ar skaidriem apmēriem nevis nekonkrētām aplēsēm, kā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pārdalei no programmas 49.00.00 “Rail Baltica projekta infrastruktūras pārvaldības funkcijas nodrošināšana” Satiksmes ministrijai ir jāizvērtē, vai tiek piedāvāts pārdalīt prioritārā pasākuma ietvaros piešķirtais finansējums, attiecīgi paredzot protokollēmuma projektā uzdevumu šādai pārdalei gatavot MK rīkojuma projektu, kas pēc tam būs jāskaņo arī ar Saeimas Budžeta un finanšu (nodokļu) komisiju (likuma “Par valsts budžetu 2024. gadam un budžeta ietvaru 2024., 2025. un 2026. gadam” 54.pants);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iespējamo pārdali starp noslēgto CEF finansēšanas līgumu aktivitātēm ir jāsniedz precīza informācija par iecerētajām darbībām, norādot, kādas aktivitātes finansējums būtu pārdalāms un kura CEF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finansējums pamattrases projektēšanai, kas netiks izmantos 2024.gadā, bet būs nepieciešamas 2025.gadā, nav izmantojams kā resurss, jo tas nav uzskatāms par ietaupījumu, ja attiecīgais finansējums ir jāatjauno nākamajā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EDZL apsaimniekošanas budžeta pārdalēm jāsniedz precīza informācija, kā ir izveidojies ietaupījums, kā arī, ievērojot, ka finansējums Rail Baltica projekta vajadzībām iegūto nekustamo īpašumu apsaimniekošanai tika piešķirts ar MK 17.01.2023. sēdes protokola Nr.3 56.§ lēmumu, tad attiecīgi protokollēmumā jāparedz sasaiste ar minēto MK lēmumu un atļauja šo finansējumu izmantot ziņojumā minēto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ziņojumā veikt precizējumus un attiecīgi arī precizēt protokollēmuma projekta 3.punktā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noteikts ziņojuma  1. un 2.tabulā ailē “Paredzamais līdzekļu atlikums līdz aktivitātes pabeigšanai” norādītais apmērs, ņemot vērā, ka tas nav starpība starp pieejamo un līdzšinēji apgūto finansējumu, kā arī skaidrot, kādam nolūkam ziņojumā šī informācija tiek sniegta, ievērojot, ka norādītais apmērs netiek tālāk izmantots aprēķinos par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1.tabulas ailē “Pieejamais finansējums aktivitātē konkrētajam līgumam (EUR)” norādīto, jo kopā sanāk “199 046 460” nevis “199 106 460”.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sadaļas “Būvdarbu izmaksu indeksācija” 3.tabulā norādīta daļa no plānotās rezerves, kas domāta neparedzētiem gadījumiem, neplānotām izmaiņām un BII, kas tiek novirzīta BII rēķinu segšanai 10 779 852,07 euro apmērā. Lūdzam sniegt skaidrojumu, vai minētā informācija ir ņemta vērā aprēķinā nepieciešamajam papildu finansējumam 39 095 459 euro, kas norādīts ziņojuma 5.tabulā.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5.tabulā norādīts, ka trūkstošais finansējums ir norādīts izmaksām bez PVN. Lūdzam skaidrot, no kādiem resursiem tiks nodrošināti PVN maksājumi. Vēršam uzmanību, ka līdzšinēji Rail Baltica projekta ietvaros atļauja uzņemties saistības EISI pieteikumu ietvaros paredz arī PVN izmaksu segšanu. Ja tomēr papildu finansējums ir nepieciešamas arī PVN maksājumiem, tad attiecīgi lūdzam 5.tabulu papildināt ar apmēriem kopā ar PVN, lai ir skaidrs kopējais papildu saistību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ziņojuma 5.tabulas: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un 6.pozīcijā ietverto informāciju par nākotnes rēķiniem, kādus darbus tie paredz un kā noteikts apmērs, ievērojot arī ziņojumā norādīto informāciju par to, ka būvnieki plāno darbu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- 8.pozīciju, ko tieši pēc būtības tā ietver,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noteikts pozīcijas “Līgumsods par maksājumu kavējumiem un inflācijas nenoteiktības rezerve”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skaidri nodalīt, kāds finansējuma apmērs ir nepieciešams jau veikto darbu apmaksai un kāds finansējums tiek pieprasīts nākotnes (sagaidāmajiem) 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pēc 5.tabulas sniegt skaidrojumu, vai ar ziņojuma 5.tabulā norādīto nepieciešamā finansējuma apmēru tiks pilnībā atrisināts jautājums par finansējuma nepietiekamību darbu pabeigšanai CEF-1 un CEF-6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15.lp. pirmajā rindkopā norādītie apmēri par neapmaksātiem rēķiniem nesakrīt ar ziņojuma 5.tabulā sniegto informāciju, attiecīgi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17. un 18.lp. tiek sniegta informācija par RCS posma 2B nepieciešamo finansējumu 131 milj. euro, tomēr no ziņojumā sniegtās informācijas nav saprotams, kā šāds apmērs noteikts, attiecīgi lūdzam precizēt un skaidrot. Vienlaikus lūdzam ziņojumu papildināt ar informāciju, kāda būs situācija Rail Baltica projektā, ja attiecīgais posms netiks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1.pielikumā norādīts, ka RCS līguma ietvaros no CEF finansējuma uz 2024.gada 10.maiju ir apmaksāti rēķini 192 356 048 euro apmērā bez PVN (ieskaitot BII). Vēršam uzmanību, ka minētā informācija nesakrīt ar ziņojuma 2.tabulā norādīto informācija par apgūto finansējumu no CEF RCS līguma ietvaros, attiecīgi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1.pielikumā attiecībā uz 1. un 2.tabulā norādītajām pozīcijām, kurām vēl tikai nepieciešams lēmums par CEF finansējumu vai valsts budžetu, nav korekti norādīt apmēru ailē “Pieejamais budžets”, attiecīgi lūdzam precizēt. Vienlaikus norādām, ka ziņojumā ir norādīts, ka RCS posma 2 B darbiem nepieciešamais finansējums ir 131 milj. euro, tomēr ziņojuma 1.tabulā  šāds finansējums netiek uzrādīts.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1.pielikumā pie 1. un 2.tabulas norādīt, ka jautājums par turpmākajiem darbiem RCS un RIX staciju izbūvē, kuriem šobrīd finansējums nav piešķirts, ir nosakāms un risināms saskaņā ar uzdevumiem, kas noteikti pie Satiksmes ministrijas izstrādātā ziņojuma “Par Rail Baltica projekta tvērumu un īstenošanas plāniem, nodrošinot projekta funkcionalitāti un starpvalstu dzelzceļa līniju savienojumu” (23-TA‑3176).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1.pielikuma 1. un 2.tabulā RCS un RIX staciju prognozētās kopējās izmaksas veido 1 234 943 151 euro, kas būtu 1 234 miljoni euro, savukārt Satiksmes ministrijas izstrādātā ziņojuma “Par Rail Baltica projekta tvērumu un īstenošanas plāniem, nodrošinot projekta funkcionalitāti un starpvalstu dzelzceļa līniju savienojumu” (23-TA‑3176) 1.tabulā norādīts, ka pozīcijai “Starptautiskās stacijas un tām piegulošie trases posmi” prognozētās izmaksas paredzētas 1 041 miljoni euro apmērā. Attiecīgi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1.pielikuma 1.tabulā pozīcijai “2c2 un 3a inflācijas prognoze” norādīt finansējuma avotu un 1.pielikuma 2.tabulā precizēt aili “Finansējuma avots” norādot, kāds konkrēti nepieciešams nākotnes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3.pielikumā norādīts, ka būvniecības izmaksu indeksācija (bez PVN) (turpmāk – BII) RCS (BERERIX) ir 29 149 100 euro un RIX (BSL) ir 4 847 321 euro, savukārt ziņojuma sadaļā “Būvdarbu izmaksu indeksācija” 5.tabulā norādīts cits nepieciešamā finansējuma apmērs sasitībā ar indeksāciju. Lūdzam pievienot skaidrojošas atsauces, vai un kā sniegtā informācija ziņojuma 5.tabulā un informācija ziņojuma 3.pielikumā ir salīdzināma.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Fiskālās disciplīnas likumam jauni likumā “Par valsts budžetu 2024. gadam un budžeta ietvaru 2024., 2025. un 2026. gadam” neieplānoti budžeta izdevumi ir pieļaujami tikai nodrošinot kompensējošos pasākumus, t.i. palielinot ieņēmumus vai samazinot citus izdevumus.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uzņemtos jaunas budžeta saistības EUR 39 095 459 apmērā, Satiksmes ministrijai ir jāpiedāvā papildus izdevumu finansēšanas 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aktuālajām Latvijas Stabilitātes programmas 2024.-2028. gadam prognozēm, vispārējās valdības budžeta deficīts 2024. gadā prognozēts 2.9% no IKP apmērā, kas ir ļoti tuvu Līgumā par Eiropas Savienības darbību noteiktai budžeta deficīta atsauces vērtībai. Pārkāpjot budžeta deficīta atsauces vērtību, pret valsti var tikt ierosināta Pārmērīga budžeta deficīta procedūra, kuras rezultātā valstij būtu būtiski jāsamazina budžeta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Finanšu ministrija norāda, ka līdz ar Eiropas Savienības vispārējās izņēmuma klauzulas, kas ļāva atkāpties no Eiropas Savienības Līgumos noteiktajiem vispārējās valdības budžeta deficīta un parāda ierobežojumiem, atcelšanu, ir spēkā ES Stabilitātes un izaugsmes pakta nosacījumi. 2024. gada 30. aprīlī ir stājušies spēkā Eiropas Savienības Stabilitātes un izaugsmes pakta reformas ietvaros pieņemtie tiesību akti (jaunie Eiropas Savienības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Satiksmes ministrijai uzņemties papildu valsts budžeta saistības EUR 39 095 459 euro apmērā, lai izpildītu saistības Rail Baltica projekta īstenošanai Rīgas Centrālā dzelzceļa mezgla un Rīgas lidostas RIX sekcijās finansēšanas līguma INEA/CEF/TRAN/M2014/1045990 (CEF1) un finansēšanas līguma INEA/CEF/TRAN/M2019/2098073 (CEF6-W) mērķu sasniegšanai informatīvajā ziņojumā minēto apstākļu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2.punktu, ņemot vērā izteikto iebildumu par ziņojuma 5.tabulā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veikt nepieciešamās darbības šā protokollēmuma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valsts budžeta saistību apmēra samazināšanai. Pieņemt zināšanai, ka Satiksmes ministrija šajā punktā minētos pasākumus valsts budžeta saistību apmēra samazināšanai veiks uz sabiedrības ar ierobežotu atbildību “EIROPAS DZELZCEĻA LĪNIJAS” priekšlikuma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protokollēmuma projekta 2.punkts paredz atļauju uzņemties papildu valsts budžeta saistības, jau šobrīd ir jānosaka šo saistību segšanas avoti, attiecīgi lūdzam precizēt protokollēmuma projekta 3.punktu, norādīto konkrētus saistību segšanas avotus. Lūdzam precizējumu veikšanā arī ņemt vērā sniegto iebildumu par ziņojuma 17.lp. norādīto informāciju ziņojumā par iespējamiem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normatīvajos aktos noteiktā kārtībā iesniegt Finanšu ministrijā pieprasījumu valsts budžeta līdzekļu pārdalei šā protokollēmuma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noteikto mērķu sasniegšanai, nepārsniedzot šī protokollēmuma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noteikto maksimālo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 ziņojuma un no protokollēmuma projekta 3.punkta nav skaidrs, kādi būs līdzekļu avoti papildu saistību segšanai, nav saprotams, kādus pieprasījumus līdzekļu pārdalei Satiksmes ministrijai normatīvajos aktos noteiktajā kārtībā paredzēts sniegt. Attiecīgi lūdzam pārskatīt un precizēt, ievērojot sniegtos iebildumus par ziņojumā norādīto informāciju un protokollēmuma projekta 3.punktā sniedzamo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Rail Baltica starptautisko staciju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14.lapas 9. zemsvītras atsaucē teikts - </w:t>
            </w:r>
            <w:r w:rsidR="00000000" w:rsidRPr="00000000" w:rsidDel="00000000">
              <w:rPr>
                <w:i w:val="1"/>
                <w:rtl w:val="0"/>
              </w:rPr>
              <w:t xml:space="preserve">Papildus būtu jānorāda, ka normatīvais regulējums jau šobrīd, plānojot un veicot publiskos iepirkumus, neliedz iekļaut līgumcenas indeksācijas noteikumus publisko iepirkumu dokumentācijā un attiecīgi pēc tam būvdarbu līgumos, ja šādi noteikumi ir paredzēti jau publiskā iepirkuma norises laikā, vienlaikus pasūtītājam nodrošinot finansējumu un nepārkāpjot likumā Par Budžetu un finanšu vadību paredzētos noteikumus, lai uzņemtos saistības.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noteikumu Nr.419 "Noteikumi par publisko būvdarbu līgumos obligāti ietveramajiem noteikumiem un to saturu" 23.punktā imperatīvā formā ir noteikts, ka </w:t>
            </w:r>
            <w:r w:rsidR="00000000" w:rsidRPr="00000000" w:rsidDel="00000000">
              <w:rPr>
                <w:i w:val="1"/>
                <w:rtl w:val="0"/>
              </w:rPr>
              <w:t xml:space="preserve">Publiskajā būvdarbu līgumā, kura izpildes termiņš pārsniedz vienu gadu, iekļauj būvdarbu līgumcenas indeksācijas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nepieciešamību attiecīgi papildināt informatīvā ziņojuma 9. zemsvītras atsaucē iekļauto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Volbergs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24-TA-1376</w:t>
    </w:r>
    <w:r>
      <w:br/>
    </w:r>
    <w:r w:rsidR="00000000" w:rsidRPr="00000000" w:rsidDel="00000000">
      <w:rPr>
        <w:rtl w:val="0"/>
      </w:rPr>
      <w:t xml:space="preserve">Izdrukāts 25.06.2024.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24-TA-1376</w:t>
    </w:r>
    <w:r>
      <w:br/>
    </w:r>
    <w:r w:rsidR="00000000" w:rsidRPr="00000000" w:rsidDel="00000000">
      <w:rPr>
        <w:rtl w:val="0"/>
      </w:rPr>
      <w:t xml:space="preserve">Izdrukāts 25.06.2024.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footer" Target="footer2.xml"/><Relationship Id="rId7" Type="http://schemas.openxmlformats.org/officeDocument/2006/relationships/header" Target="header1.xml"/><Relationship Id="rId2" Type="http://schemas.openxmlformats.org/officeDocument/2006/relationships/footer" Target="footer1.xml"/><Relationship Id="rId1" Type="http://schemas.openxmlformats.org/officeDocument/2006/relationships/fontTable" Target="fontTable.xml"/><Relationship Id="rId6" Type="http://schemas.openxmlformats.org/officeDocument/2006/relationships/styles" Target="styles.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20C2F029DD3B544856B024E0B00EBC6" ma:contentTypeVersion="18" ma:contentTypeDescription="Izveidot jaunu dokumentu." ma:contentTypeScope="" ma:versionID="ca756bb74c4158bb2452c0e4293b2cf9">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6bacc21a2de927d2348e30c6c4db870d"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70a0a924-2650-479c-b9de-57fd428d26b3}" ma:internalName="TaxCatchAll" ma:showField="CatchAllData" ma:web="80670bfd-22b1-412c-a180-1cbc292fcd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D94AE4-7C1C-4656-89F7-DCDDAFE9BDB7}"/>
</file>

<file path=customXml/itemProps2.xml><?xml version="1.0" encoding="utf-8"?>
<ds:datastoreItem xmlns:ds="http://schemas.openxmlformats.org/officeDocument/2006/customXml" ds:itemID="{9AE17270-D5F2-47F0-BDC4-3AF140C7228D}"/>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Atzinumi_24-TA-1376.docx</dc:title>
</cp:coreProperties>
</file>

<file path=docProps/custom.xml><?xml version="1.0" encoding="utf-8"?>
<Properties xmlns="http://schemas.openxmlformats.org/officeDocument/2006/custom-properties" xmlns:vt="http://schemas.openxmlformats.org/officeDocument/2006/docPropsVTypes"/>
</file>