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24-TA-2723: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Alternatīvo degvielu infrastruktūras attīstības stratēģiju”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sadaļā “Perspektīvas un plānotie pasākumi attiecībā uz alternatīvo degvielu infrastruktūras ieviešanu jūras ostās, piemēram, attiecībā uz elektroenerģiju un ūdeņradi, ostas pakalpojumiem” norādīts, ka Rīgas ostai krasta elektroapgādes risinājumiem nepieciešams finansējums aptuveni EUR 10 milj. apmērā, tostarp kruīza kuģu apkalpošanai, bet Rīgas brīvostas pārvaldes rīcībā šāds finansējums nav pieejams. Lūdzam norādīt, kāda finansējuma ietvaros to plānots risināt, vienlaikus ņemot vērā iebildumā par ierobežotām valsts budžeta finansiālajām iespējām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labota šādā redakcijā: "Rīgas ostai krasta elektroapgādes risinājumiem nepieciešams finansējums aptuveni EUR 10 milj. apmērā, tostarp kruīza kuģu apkalpošanai. Rīgas brīvostas pārvaldes rīcībā šobrīd šāds finansējums nav pieejams, kā arī tam nav paredzēts valsts atbalsts, līdz ar to Rīgas brīvostas pārvaldei būs nepieciešams piemeklēt atbilstošus finansējuma avotus šo pasākumu īstenošanai, pretējā gadījumā pastāv risks, ka pasākumi netiks īstenoti."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2024.gada 4.decembrī Seimā pieņemtos grozījumus likumā "Par akcīzes nodokli",  aicinām precizēt informatīvajā ziņojuma 11.lapā pirmās rindkopas tekstu "Dabasgāzes izmantojumu transportā ir palielinājis gan infrastruktūras izveidošana</w:t>
            </w:r>
            <w:r w:rsidR="00000000" w:rsidRPr="00000000" w:rsidDel="00000000">
              <w:rPr>
                <w:vertAlign w:val="superscript"/>
                <w:rtl w:val="0"/>
              </w:rPr>
              <w:t xml:space="preserve">18</w:t>
            </w:r>
            <w:r w:rsidR="00000000" w:rsidRPr="00000000" w:rsidDel="00000000">
              <w:rPr>
                <w:rtl w:val="0"/>
              </w:rPr>
              <w:t xml:space="preserve">, kur publiski pieejamās saspiestās dabasgāzes uzpildi piedāvā 2 CNG uzpildes punktu operatori, gan akcīzes nodokļa īslaicīgs samazinājums – no 2021.gada 1.janvāra līdz 2025.gada 31.decembrim – no 9,64EUR/MWh uz 1,91 EUR/MWh. Saskaņā ar likumu “Par akcīzes nodokli” ar 2026.gada 1.janvāri akcīzes nodokli dabasgāzei, kuru izmanto par degvielu transportā, ir paredzēts noteikt 10 EUR/MWh</w:t>
            </w:r>
            <w:r w:rsidR="00000000" w:rsidRPr="00000000" w:rsidDel="00000000">
              <w:rPr>
                <w:vertAlign w:val="superscript"/>
                <w:rtl w:val="0"/>
              </w:rPr>
              <w:t xml:space="preserve">19</w:t>
            </w:r>
            <w:r w:rsidR="00000000" w:rsidRPr="00000000" w:rsidDel="00000000">
              <w:rPr>
                <w:rtl w:val="0"/>
              </w:rPr>
              <w:t xml:space="preserve">", to aizstājot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izmantojumu transportā ir palielinājis gan infrastruktūras izveidošana</w:t>
            </w:r>
            <w:r w:rsidR="00000000" w:rsidRPr="00000000" w:rsidDel="00000000">
              <w:rPr>
                <w:vertAlign w:val="superscript"/>
                <w:rtl w:val="0"/>
              </w:rPr>
              <w:t xml:space="preserve">18</w:t>
            </w:r>
            <w:r w:rsidR="00000000" w:rsidRPr="00000000" w:rsidDel="00000000">
              <w:rPr>
                <w:rtl w:val="0"/>
              </w:rPr>
              <w:t xml:space="preserve">, kur publiski pieejamās saspiestās dabasgāzes uzpildi piedāvā 2 CNG uzpildes punktu operatori, gan akcīzes nodokļa terminēts samazinājums – no 2021.gada 1.janvāra līdz 2025.gada 31.decembrim – no 9,64 EUR/MWh uz 1,91 EUR/MWh. Saskaņā ar Saeimā 2024.gada 4.decembrī pieņemtajiem grozījumiem likumā “Par akcīzes nodokli”</w:t>
            </w:r>
            <w:r w:rsidR="00000000" w:rsidRPr="00000000" w:rsidDel="00000000">
              <w:rPr>
                <w:vertAlign w:val="superscript"/>
                <w:rtl w:val="0"/>
              </w:rPr>
              <w:t xml:space="preserve">19</w:t>
            </w:r>
            <w:r w:rsidR="00000000" w:rsidRPr="00000000" w:rsidDel="00000000">
              <w:rPr>
                <w:rtl w:val="0"/>
              </w:rPr>
              <w:t xml:space="preserve"> ar 2025.gada 1.janvāri akcīzes nodoklis dabasgāzei, kuru izmanto par degvielu transportā, ir tiks noteikts 3,63 EUR/MWh, savukārt no 2026.gada 1.janvāra - 13,45 EUR/MWh.</w:t>
            </w:r>
            <w:r w:rsidR="00000000" w:rsidRPr="00000000" w:rsidDel="00000000">
              <w:rPr>
                <w:vertAlign w:val="superscript"/>
                <w:rtl w:val="0"/>
              </w:rPr>
              <w:t xml:space="preserve">20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https://likumi.lv/ta/id/357483-grozijumi-likuma-par-akcizes-nodokli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Likuma “Par akcīzes nodokli” pārejas noteikumu 124.punkts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uzskata, ka informatīvā ziņojuma pielikums "Latvijas Alternatīvo degvielu infrastruktūras attīstības stratēģija" ir jāizstrādā un jāapstiprina kā politikas plānošanas dokuments, piemēram,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minēto valsts politikas regulējumu prasa izstrādāt tieši piemērojams Eiropas Savienības tiesību akts - Regulas 2023/1804 14.pants, tad uz šādu politikas plānošanas dokumentu būtu attiecināms Ministru kabineta 2014.gada 2.decembra noteikumu Nr.737 "Attīstības plānošanas dokumentu izstrādes un ietekmes izvērtēšanas noteikumi" 6.punkts, un stratēģiju varētu izstrādāt Regulas 2023/1804 noteiktajā formātā un noteiktā laika aptvērumā, kas pārsniedz plānam noteikto laika aptvērumu.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uzskata, ka stratēģija ir svarīgs valsts politikas regulējums, un tam ir jābūt politikas plānošanas dokumenta spēkam.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Klimata un enerģētikas ministrija uzskata, ka informatīvajā ziņojumā ir skaidri jānosaka, ka stratēģija tiek izstrādāta kā Latvijas politikas plānošanas dokuments - plāns, un ka informatīvā ziņojuma pielikumā tas tiek iekļauts kā politikas plānošanas dokumenta projekts tā iesniegšanai Eiropas Komisijā, un ka politikas plānošanas dokuments tiks aktualizēts pēc Eiropas Komisijas rekomendāciju saņemšanas un iestrādes un pēc sabiedrības un starpministriju saskaņošnaas procesa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piekrītam, ka valsts politikas regulējumu prasa izstrādāt Regulas 2023/1804 14.pants, vienlaikus norādām, ka minētās Regulas 17.pants paredz šī regulējuma pārskatīšanu un vajadzības gadījumā - grozīšanu. Ņemot to vērā, uzskatām, ka stratēģijas pārstrādāšana politikas plānošanas dokumenta formātā apgrūtinās un paildzinās šo procesu, no kā vēlamies izvairīties, ievērojot, ka jau iepriekšminētais 14.pants nenosaka konkrētas prasības attiecībā uz regulējuma formātu. Tāpat norādām, ka šis jautājums tika skatīts arī darba grupas par valsts regulējuma par alternatīvo degvielu tirgus attīstību un attiecīgās infrastruktūras ieviešanu izstrādāšanai sanāksmēs, kuru laikā tika panākta vienošanās par šādu pieeju, tai skaitā no KEM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Alternatīvo degvielu infrastruktūras attīstības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finansiālās iespējas ir ierobežotas, kā arī likums “Par valsts budžetu 2025. gadam un budžeta ietvaru 2025., 2026. un 2027. gadam” ir pieņemts un izsludināts, līdz ar to finansējuma piesaistei pasākumiem, kuriem šobrīd nav zināms finansējuma avots, ir jārod tādi risinājumi, kas nerada negatīvu ietekmi uz budžetu, attiecīgi lūdzam Ministru kabineta sēdes protokollēmuma projektā iekļaut punktu, kas paredz, ka Latvijas Alternatīvo degvielu infrastruktūras attīstības stratēģijā paredzētie pasākumi tiks īstenoti pieejamā finansējuma ietvaros, vienlaikus, ja netiks rasti risinājumi finansējuma piesaistei, tad pasākumi netiks īstenoti. Attiecīgi lūdzam ar šādu informāciju papildināt arī stratēģiju, tai skaitā arī attiecībā uz pasākumiem, kuriem stratēģijas 22. un 23.lp. valsts budžets norādīts kā viens no iespējamiem avotiem, proti, tabulām Nr. 29 “Plānotie pasākumi un investīcijas ūdeņraža infrastruktūrā un bezemisiju transportlīdzekļos” un  Nr. 30 “Plānotie pasākumi un investīcijas metāna infrastruktūrā un transportlīdzekļos”.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saskaņošana tiek veikta tikai par stratēģijas projektu un tā nosūtīšanu Eiropas Komisijai, protokollēmumā labojumi netiek veikti, taču ir iekļauti papildinājumi un labojumi ziņojumā un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Alternatīvo degvielu infrastruktūras attīstības stratēģiju”"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pārbaudīt formulas “uzlādes parku, kas apkalpo abus braukšanas virzienus, izejas jaudas aprēķināšanai”. Pēc formulām ir jāizmanto “TEN-T visaptverošā tīkla kopgarums (km) ar atkāpēm / 60”, kas ne vienmēr ir vesels skaitlis. Taču pēc aprēķinu rezultātiem izskatās, ka formulā faktiski ir izmantots “uzlādes parku skaits” ceļa apgabalā, kam vienmēr ir jābūt veselam skaitlīm.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ir stratēģijas projekts, kas tiks iesniegts Eiropas Komisijai rekomendāciju sniegšanai, nav pamatoti veikt izmaiņas formulās pirms oficiālo vadlīniju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var sniegt konkrētākas norādes par to, kā interpretēt un izmantot formulas, lai tās atbilstu gan regulas mērķiem, gan metodoloģiskajiem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pārbaudīt formulas / aprēķinu rezultātus. Piemēram, 10. un 12. tabulās "uzlādes parku kopējā izejas jauda" vērtības, kuras ir aprēķinātas ar formulām no 25. un 38. atsaucēm, izskatās pārāk lieli. Iespējams, nav ņemts vērā reizinātājs " * 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ir stratēģijas projekts, kas tiks iesniegts Eiropas Komisijai rekomendāciju sniegšanai, nav pamatoti veikt izmaiņas formulās pirms oficiālo vadlīniju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var sniegt konkrētākas norādes par to, kā interpretēt un izmantot formulas, lai tās atbilstu gan regulas mērķiem, gan metodoloģiskajiem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datus par "Maršruta kopgarumiem" trešajā tabulā. Pēc informācijas no 5. atsauces, Rīgas apvedceļa (Salaspils–Babīte) garums ir 40,9 km, stratēģijā tas ir 31,2 km. A6 ceļš Rīga–Daugavpils–Krāslava–Baltkrievijas robeža (Patarnieki) atsaucē ir 306,5 km garš, stratēģijā - 134,7 km. Gadījumā, ja stratēģijā ir pareizi cipari, lūdzam tekstā paskaidrot atšķirības.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SM ir izstrādājusi grozījumus Ministru kabineta 29.09.2009. noteikumos Nr.1104 "Noteikumi par valsts autoceļu un valsts autoceļu maršrutā ietverto pašvaldībām piederošo autoceļu posmu sarakstiem", kuri šobrīd ir saskaņošanā (24-TA-2659) un tuvākajā laikā tos ir plānots iesniegt VK. Līdz ar to pašreiz ir nesakritība ar spēkā esošo noteikumu redakciju - šis tiks saskaņots un precizēts stratēģijas gala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pārbaudīt aprēķinus. Ziņojuma (12.lpp. pirmais teikums) ir minēts, ka “dabasgāzes izmantojums ceļa transportā ir palielinājies 43 reizes – no 2 TJ 2018.gadā līdz 112 TJ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 2 = 56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šādā redakcijā: "Latvijā dabasgāzi transportā pietiekamos apjomos uzsāka izmantot 2018.gadā un kopš tā laika dabasgāzes izmantojums ceļa transportā ir palielinājies 56 reizes – no 2 TJ 2018.gadā līdz 112 TJ 2023.gadā."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pārbaudīt, vai nav nepieciešams labojums 7.lpp. tekstā "</w:t>
            </w:r>
            <w:r w:rsidR="00000000" w:rsidRPr="00000000" w:rsidDel="00000000">
              <w:rPr>
                <w:i w:val="1"/>
                <w:rtl w:val="0"/>
              </w:rPr>
              <w:t xml:space="preserve">Tas veidos 15–16 % no ES kopējā elektroenerģijas galapatēriņa </w:t>
            </w:r>
            <w:r w:rsidR="00000000" w:rsidRPr="00000000" w:rsidDel="00000000">
              <w:rPr>
                <w:i w:val="1"/>
                <w:u w:val="single"/>
                <w:rtl w:val="0"/>
              </w:rPr>
              <w:t xml:space="preserve">visās nozarēs</w:t>
            </w:r>
            <w:r w:rsidR="00000000" w:rsidRPr="00000000" w:rsidDel="00000000">
              <w:rPr>
                <w:i w:val="1"/>
                <w:rtl w:val="0"/>
              </w:rPr>
              <w:t xml:space="preserve"> 2040. gadā un aptuveni 17 % 2050. gadā (ar nelielām atšķirībām starp scenārijiem).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Iepriekšējais teikums tekstā (pirms augstāk minētā) ir par elektroenerģijas patēriņu ES </w:t>
            </w:r>
            <w:r w:rsidR="00000000" w:rsidRPr="00000000" w:rsidDel="00000000">
              <w:rPr>
                <w:u w:val="single"/>
                <w:rtl w:val="0"/>
              </w:rPr>
              <w:t xml:space="preserve">transporta nozarē </w:t>
            </w:r>
            <w:r w:rsidR="00000000" w:rsidRPr="00000000" w:rsidDel="00000000">
              <w:rPr>
                <w:rtl w:val="0"/>
              </w:rPr>
              <w:t xml:space="preserve">(nevis visās nozarēs) un pārējo alternatīvo degvielu īpatsvari arī ir norādīti no ES enerģijas kopējā patēriņa </w:t>
            </w:r>
            <w:r w:rsidR="00000000" w:rsidRPr="00000000" w:rsidDel="00000000">
              <w:rPr>
                <w:u w:val="single"/>
                <w:rtl w:val="0"/>
              </w:rPr>
              <w:t xml:space="preserve">transporta nozarē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pārbaudīt, vai nav nepieciešams labojums šajā tekstā uz “Tas veidos 15–16 % īpatsvaru no ES kopējā</w:t>
            </w:r>
            <w:r w:rsidR="00000000" w:rsidRPr="00000000" w:rsidDel="00000000">
              <w:rPr>
                <w:u w:val="single"/>
                <w:rtl w:val="0"/>
              </w:rPr>
              <w:t xml:space="preserve"> transporta sektora</w:t>
            </w:r>
            <w:r w:rsidR="00000000" w:rsidRPr="00000000" w:rsidDel="00000000">
              <w:rPr>
                <w:rtl w:val="0"/>
              </w:rPr>
              <w:t xml:space="preserve"> enerģijas galapatēriņa 2040. gadā un aptuveni 17 % 2050. gadā (ar nelielām atšķirībām starp scenārijiem).”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tekstā kļūda nav identificēta, lūgums izskatīt nepieciešamību tekstā norādīt elektroenerģijas īpatsvaru transporta nozarē nevis visās nozarēs, lai būtu iespējams šos datus salīdzināt ar datiem, kas norādīti pie citām alternatīvajām degvielām.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dzēsts, lai mazinātu neskaidrību.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stratēģijā norādīt arī nacionālo ziņošanas mehānismu par uzraugāmo mērķrādītāju sasniegšanas progresu. Valsts kanceleja konstatē, ka Regulā (ES) 2023/1804  ir noteikta kārtība par tās progresa pārraudzību,  vienlaikus no stratēģijas nav saprotams, kā nacionālā līmenī ir paredzēta plānoto mērķvērtību sasniegšanas progresa uzraudzība, tās regularitāte un ziņošana Ministru kabinetam, ņemot vērā iztrūkstošos finanšu līdzekļus mērķrādītāju sasniegšanā. Ievērojot minēto, lūdzam precizēt stratēģiju skaidri norādot arī nacionālo ziņošanas mehānismu, piemēram, informatīvā ziņojuma veidā, kurā noteiktā periodā tiktu sniegta atskaite par mērķvērtību sasniegšanas progresu, īstenotajiem pasākumiem / plānotajiem pasākumiem un izlietoto finansējumu (vēlams tabulas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AFIR 14.pants neparedz stratēģijā iekļaut informāciju par nacionālo ziņošanu, informatīvais ziņojums papildināts šādā redakcijā: "AFIR 15.pants nosaka dalībvalstīm līdz 2027. gada 31. decembrim un pēc tam reizi divos gados iesniegt Komisijai valsts progresa ziņojumu par valsts politikas regulējuma īstenošanu. Paralēli progresa ziņojuma sagatavošanai tiks sagatavots informatīvais ziņojums iesniegšanai Ministru kabinetam, lai nodrošinātu nacionālo ziņošanu par stratēģijas mērķrādītāju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lpp. nepieciešams aktualizēt informāciju par pētījumu "Elektrouzlādes staciju tīkla izpēte TEN-T autoceļu tīklā Latvijā", kuru bija plānots pabeigt 2024.gada nogalē.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šādā redakcijā: "Ņemot vērā šo starpposma termiņu un rekomendāciju sniegšanas priekšnosacījumu, stratēģija pašlaik netiek virzīta gala redakcijā, ņemot vērā arī to, ka, lai izstrādātu pasākumus ceļu transporta uzlādes infrastruktūrai, kas ietver lielāko daļu no AFIR prasībām, pašlaik tiek izstrādāts pētījums “Elektrouzlādes staciju tīkla izveides izpēte TEN-T autoceļu tīklā Latvijā”[1], kura rezultāti vēl nav pieejami, taču tiks ņemti vērā, izstrādājot pasākumus stratēģijas gala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LVC2023/1.10/AC/722 “Elektrouzlādes staciju tīkla izveides izpēte TEN-T autoceļu tīklā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3.lpp precizēt tekstu Ņemot vērā šo starpposma termiņu un rekomendāciju sniegšanas priekšnosacījumu, stratēģija pašlaik netiek virzīta gala redakcijā, ņemot vērā arī to, ka, lai izstrādātu pasākumus ceļu transporta uzlādes infrastruktūrai, kas ietver lielāko daļu no AFIR prasībām, pašlaik tiek izstrādāts pētījums “Elektrouzlādes staciju tīkla izveides izpēte TEN-T autoceļu tīklā Latvijā” 1 , kura rezultāti gaidāmi tikai 2024.gada noslēgumā.", jo ziņojums tiek virzīts 2025.gada janvārī - februārī, kad minētā pētījuma  “Elektrouzlādes staciju tīkla izveides izpēte TEN-T autoceļu tīklā Latvijā” rezultātiem jau būtu jābūt pieejamiem. Vai lūgums norādīt aktuālo termiņu, kad būs gaidāmi rezultāti, piemēram, 2025.gada 1.ceturksnis.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šādā redakcijā: "Ņemot vērā šo starpposma termiņu un rekomendāciju sniegšanas priekšnosacījumu, stratēģija pašlaik netiek virzīta gala redakcijā, ņemot vērā arī to, ka, lai izstrādātu pasākumus ceļu transporta uzlādes infrastruktūrai, kas ietver lielāko daļu no AFIR prasībām, pašlaik tiek izstrādāts pētījums “Elektrouzlādes staciju tīkla izveides izpēte TEN-T autoceļu tīklā Latvijā”[1], kura rezultāti vēl nav pieejami, taču tiks ņemti vērā, izstrādājot pasākumus stratēģijas gala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LVC2023/1.10/AC/722 “Elektrouzlādes staciju tīkla izveides izpēte TEN-T autoceļu tīklā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Stratēģijas projektu ar informāciju par indikatīvo, pasākumu īstenošanai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liela daļa pasākumu vēl nav finalizēti, var tikt mainīti pēc Komisijas rekomendācijām, kā arī paredzamu būtisku privātā sektora iesaisti, šobrīd finansējumu visiem pasākumiem noteikt nav iespējams. Tiem pasākumiem, kam tas ir iespējams, provizoriskās izmaksas ir iekļautas.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36.lp sadaļā “Pasākumi, kas nodrošina, ka publiski pieejami uzlādes un uzpildes punkti alternatīvām degvielām ir piekļūstami vecāka gadagājuma cilvēkiem, personām ar ierobežotam pārvietošanās spējām un personām ar invaliditāti atbilstoši Direktīvas (ES) 2019/882 piekļūstamības prasībām” minēts, ka uzlādes punktu pieejamība sniegs ieguvumus “plašākam personu lokam – vecāka gadagājuma cilvēkiem, cilvēkiem ar uztveres īpatnībām, lasīšanas grūtībām, autiskā spektra traucējumiem, kā arī cilvēkiem ar funkcionēšanas ierobežojumiem, piemēram, lūzumiem, pasliktinātu redzi vai dzirdi”. Lūdzam norādīt ne tikai pieņemto regulējumu, bet sniegt informāciju, tieši kādi papildus pasākumi (piemērojumi) tiek plānoti uzlādes stacijās, lai sniegtu ieguvumus uzskaitītajām cilvēku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papildināta ar jaunu sadaļu, kurā iekļauta informācija par papildus pasākumiem (36. un 37.lp).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aktualizēt informāciju, piemēram, 32.lp.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gadā uzsākts starptautiska iepirkuma par ātrgaitas dzelzceļa elektrifikācijas apakšsistēmas projektēšanu un būvniecību otrais posms”, kamēr no publiskās informācijas ( saite norādīta zemsvītras piezīmē) ir saprotams, ja 2024.gada vidū bija plānots noslēgt līgumu ar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 projektā turpinās būvniecības darbi Rīgas Centrālajā stacijā un Rīgas lidostā, ir noslēgts pamattrases būvniecības ietvarlīgums, tiek veikti sagatavošanas darbi pamattrases būvniecībai un 2024. gadā plānots uzsākt būvdarbus...”, kamēr šobrīd ir skaidrs, ka būvdarbi nenotiek un 2024.gada plāni nerealizējās.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Rindkopas dzēstas, lai mazinātu neskaidrību.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Stratēģijā (vai tās pielikumā, vai informatīvajā ziņojumā) informāciju par jau paveikto pasākumu efektuvitāti – piemēram, vai skolēnu pārvadāšanai un sabiedriskajam transportam iegādātie alternatīvo degvielu autobusi tiek izmantoti 100%, ja nē, tad kādi ir iemesli. Uzskatām, ka tā ir būtiska informācija, lai saprastu, vai ir lietderīgi reģionu pašvaldībām iegādāties, piemēram elektriskos autobusus skolēnu pārvadāšanai, ja ar tiem nav iespējams izbraukāt ceļus bez asfalta seguma rudeņos un pavasaros (ņemot vērā, ka elektroautobuss ir smagāks par “parasto” autobusu).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stratēģija vērsta uz pasākumiem, kas veicina publiskas alternatīvo degvielu infrastruktūras ieviešanu un attīstību, norādām, ka priekšlikumā minētā informācija ir ārpus stratēģijas tvēruma. Apsvērsim tās iekļaušanu gala redakcijā, taču šobrīd laika ierobežojumu dēļ papildinājumi netiks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27.tabulā minēto sašķidrinātā biometāna uzpildes staciju skaita aprēķinu, proti – kāpēc 1 stacija uz 400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papildināta šādā redakcijā: "AFIR nosaka, ka līdz 2025. gada beigām TEN-T pamattīklā jābūt pieejamai atbilstošai metāna (LNG/LBG) uzpildes infrastruktūrai tā, lai nodrošinātu kravas transportlīdzekļu iespēju pārvietoties visā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AFIR neparedz precīzu attālumu starp stacijām, ES vadlīnijas un līdzšinējie piemēri atceltajā Direktīvā 2014/94/ES liecina, ka vidējais attālums starp uzpildes stacijām LNG/LBG infrastruktūrai parasti ir robežās no 300 līdz 400 km atkarībā no transportlīdzekļu autonomijas. Līdzīgi standarti tiek izmantoti citās ES valstīs, piemēram, Vācijā un Nīderlandē, kur vidējais attālums starp LNG/LBG uzpildes stacijām ir 300–400 km. Klaipēdas[1] un Tallinas[2] ostu tuvumā jau darbojas LNG uzpildes punkti, kas papildina Latvijas tīklu un samazina nepieciešamību pēc blīvākas infrastruktūras izvietošanas. Zemāk 27.tabulā ir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https://www.kn.lt/en/our-activities/lng-terminals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https://www.alexela.lv/en"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23.tabulā un 26.tabulā minētā ūdeņraža uzpildes staciju skaita aprēķina formulu (nav norādīta zemsvītras piezīmēs).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papildināta ar zemsvītras piezīmēm, skaidrojot norādītos aprēķinus.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3.tabulā un 5.tabulā norādītā uzlādes parku skaita aprēķina formulu (Maršruta kopgarums (km)/60 *2), t.i. kāds ir pamatojums tam, ka uzlādes parkiem jāatrodas aptuveni 30 km attālumā vienam no otra.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papildināta ar skaidrojumiem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AFIR 3.panta 4.punktu jānodrošina, ka TEN-T ceļu pamattīklā katrā braukšanas virzienā ne vairāk kā 60 km attālumā viens no otra ir ierīkoti publiski pieejami uzlādes parki, kas paredzēti mazas noslodzes elektrotransportlīdzekļiem."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"TEN-T visaptverošajā ceļu tīklā (5.tabula un 6.tabula) katrā braukšanas virzienā ne vairāk kā 60 km attālumā viens no otra ir ierīkoti publiski pieejami uzlādes parki, kas paredzēti mazas noslodzes ETL un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2027. gada 31. decembrim vismaz 50 % no TEN-T visaptverošā ceļu tīkla katrs uzlādes parks dara pieejamu 300 kW izejas jaudu, un tajā ietilpst vismaz viens uzlādes punkts ar vismaz 150 kW individuālo izejas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2030. gada 31. decembrim katrs uzlādes parks dara pieejamu vismaz 300 kW izejas jaudu, un tajā ietilpst vismaz viens uzlādes punkts ar vismaz 150 kW individuālo izejas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2035. gada 31. decembrim katrs uzlādes parks dara pieejamu vismaz 600 kW izejas jaudu, un tajā ietilpst vismaz divi uzlādes punkti ar vismaz 150 kW individuālo izejas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sadaļā “Situācijas raksturojums Latvijā alternatīvo degvielu kontekstā” iekļautajā apakšadaļā “E-metanols: nākotnes alternatīvā degviela jūras transportā” iekļautā informācija skaidro starptautisko konteinepārvadātāju interesi pat e-metanolu, taču nav saprotams, kā tas attiecas uz Latviju.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indicē nepieciešamību attīstīt metanola infrastruktūru Latvijas ostās, lai nodrošinātu ostu spēju apkalpot metanola kuģus. Norādām, ka ar metanolu darbināmi kuģi Latvijas ostās ienāk jau šobrīd.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3.lp. minēts, ka Stratēģijas uzdevumi ir skaidri noteikti Nacionālajā attīstības plānā 2021.-2027.gadam, sniedzot atsauci uz NAP2027 [251] rindkopu. Vēršam uzmanību, ka [251] rindkopā nav definēts ne mērķis, ne uzdevums. Lūdzam precizēt atsauci uz NAP2027, norādot precīzi kurus mērķus un vai uzdevumus palīdzēs sasniegt Stratēģija, jo nav korekti par uzdevumu nosaukt rindkopu no NAP2027 prioritātes satura aprakstošā teksta. Piemēram, iespējama atsauce uz NAP2027 uzdevumu [314] “Transporta sistēmas pilnveidošana, lai palielinātu velosipēdu un citu videi draudzīgu transportlīdzekļu lietošanu un AER izmantošanu, veidojot atbilstošu infrastruktūru un veicinot autoparka nomaiņu, vienlaikus panākot pieejamību dažādām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šādā redakcijā: "Stratēģija ir paredzēta kā instruments alternatīvo degvielu infrastruktūras nodrošināšanai, un tās uzdevumi saskan ar Nacionālo attīstības plānu 2021.-2027.gadam (NAP 2027[1]), proti: “[314] Transporta sistēmas pilnveidošana, lai palielinātu velosipēdu un citu videi draudzīgu transportlīdzekļu lietošanu un AER izmantošanu, veidojot atbilstošu infrastruktūru un veicinot autoparka nomaiņu, vienlaikus panākot pieejamību dažādām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https://likumi.lv/ta/id/315879-par-latvijas-nacionalo-attistibas-planu-20212027-gadam-nap2027"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23. lpp. norādītajam pasākumam "Palielināt bezemisiju vieglo pasažieru transportlīdzekļu skaitu" saskaņot finansējuma apjomu ar Aktualizētajā Nacionālajā enerģētikas un klimata plānā 2020. - 2030. gadam norādīto informāciju (Stratēģijā norādīti 300MEUR, bet NEKP 600 MEUR).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labota atbilstoši norādītajai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stratēģijas 23. un 24.lp. tabulās Nr. 29 “Plānotie pasākumi un investīcijas ūdeņraža infrastruktūrā un bezemisiju transportlīdzekļos” un  Nr. 30 “Plānotie pasākumi un investīcijas metāna infrastruktūrā un transportlīdzekļos” valsts budžets vairs netiek paredzēts kā viens no iespējamiem avotiem, kā arī ziņojumā par stratēģiju iekļauto informāciju, ka finansējuma piesaistei pasākumiem, kuriem šobrīd nav zināms finansējuma avots, ir nepieciešams piemeklēt risinājumus, kas nerada negatīvu ietekmi uz budžetu, aicinām stratēģijas 23.lp. pie tabulās izmantotiem saīsinājumiem svītrot tekstu “VB – valsts budžets”.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labota, norādītais teksts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informatīvā ziņojuma dokumentu "Informatīvais ziņojums “Par Latvijas Alternatīvo degvielu infrastruktūras attīstības stratēģiju”, rosinām veikt redakcionālus precizējumus ziņojuma 4.lappuses sekojošajā teikumā: "Jāņem vērā, ka pašreizējā uzlādes infrastruktūras paplašināšana varētu ietekmēt pieprasījumu pēc elektroenerģijas."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pievēršam uzmanību, ka infrastruktūras paplašināšanai ir tikai netieša ietekme uz kopējo elektroenerģijas pieprasījuma apjomu, jo galvenais pieprasījumu ietekmējošais faktors saistībā ar elektromobilitāti ir faktiskais elektromobiļu skaits un to lietošanas intensitāti, savukārt infrastruktūras paplašināšanas ietekme uz pieprasījumu ir saistāma tikai ar elektromobiliļu iespējamo popularitātes pieaugumu transporta lietotāju vidū. Tāpat arī atzīmējams, ka ar transportlīdzekļu elektrifikāciju saistītais elektroenerģijas pieprasījums nav uzskatāms Latvijas elektroenerģijas tirgum kritiski nozīmīgu apjomu - balstoties uz pieņēmumu, ka ar elektromobiļiem tiek aizstāts viss vieglā transporta autoparks un kopējais elektromobiļu apjoms sasniedz aptuveni 1 miljonu vienību, to nobraukums saglabājas vidēji 13 000 km gadā, bet vidējais elektroenerģijas patēriņš uz 100 km sasniedz ap 20 kWh, kopējais elektroenerģijas pieprasījums elektromobiļu patēriņam ir aplēšamas aptuveni 2,6 TWh apjomā. Ņemot vērā esošo Latvijas elektroenerģijas lietotāju patēriņu aptuveni 7,2 TWh apjomu gadā, kā arī faktu, ka vēl 1990. gadā Latvijas kopējais patēriņš bija aptuveni 10 TWh gadā, ir secināms, ka arī pilnīgas pasažieru transporta elektrifikācijas gadījumā sagaidāmais kopējais elektroenerģijas patēriņš valstī joprojām būs zemāks, nekā vēsturiski reģistrētais maksimālais apjoms, un attiecīgi fiziski patērētās elektroenerģijas apjoms nav uzskatāms par nozīmīgu izaicinājumu energoapgādei. Vienlaikus ir būtiski ņemt vērā, ka straujas uzlādes infrastruktūras attīstības gadījumā tehnoloģiski izaicinājumi var veidoties saistībā ar elektrouzlādes pakalpojuma patērēto elektroenerģijas vienlaicīgās jaudas pieprasījumu.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pašreizējā uzlādes infrastruktūras paplašināšana varētu ietekmēt pieprasījumu pēc elektroenerģijas, tomēr prognozējamais elektromobilitātes enerģijas pieprasījums kopumā nav uzskatāms par kritiski nozīmīgu izaicinājumu, jo arī scenārijā, kas paredz pilnīgi Latvijas pasažieru transporta elektrifikāciju, kopējais Latvijas elektroenerģijas pieprasījuma apjoms ir lēšams mazāks, nekā vēsturiski fiskētais elektroenerģijas patēriņš.  Savukārt par nosacīti nozīmīgāku tehnoloģisku izaicinājumu ir uzskatāms elektromobilitātes uzlādes pakalpojuma radītais pieprasījums pēc lietotāju vienlaicīgi patērētās elektroenerģijas jaudas, kura apjoms būs būtiski atkarīgs no ātrās, vidēji ātrās vai lēnās elektrouzlādes infrastruktūras proporcijām elektroapgādes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dokumenta "Latvijas Alternatīvo degvielu infrastruktūras attīstības stratēģija" nodaļu "Plānotie vai pieņemtie pasākumi, kas vajadzīgi lai nodrošinātu, ka uzlādes punktu ierīkošana un ekspluatācija, arī divvirzienu uzlādes punktu ģeogrāfiskais sadalījums, veicina energosistēmas elastību un atjaunīgās elektroenerģijas īpatsvara palielināšanos elektrosistēmā" (34. lpp), Klimata un enerģētikas ministrija izsaka priekšlikumu veikt precizējošas  izmaiņas sekojošajā nodaļas teikumā: "V2G ir viens no risinājumiem, kas var tikt izmantots energosistēmas elastības paaugstināšanai, gadījumā elektroenerģijas sistēmai un elektroenerģijas tirgum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funkcionalitāte būtu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Dokumenta turpinājumā, nākamajā teikumā ir pamatoti norādīts, ka elektroenerģijas apgādes un saistīto pakalpojumu pieprasījums veidojas tirgus un konkurences apstākļos, tāpēc no redakcionālā viedokļa atzinumā minēto teikumu būtu ierosināmas precizēt, pievēršot uzmanību, ka minēto pakalpojumu attīstības priekšnosacījums ir pieprasījums pēc šiem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V2G ir viens no risinājumiem, kas var tikt izmantots energosistēmas elastības paaugstināšanai, gadījumā ja elektroenerģijas sistēmai un elektroenerģijas tirgum šāda funkcionalitāte būtu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labota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dokumenta "Latvijas Alternatīvo degvielu infrastruktūras attīstības stratēģija" nodaļu "Plānotie vai pieņemtie pasākumi, kas vajadzīgi lai nodrošinātu, ka uzlādes punktu ierīkošana un ekspluatācija, arī divvirzienu uzlādes punktu ģeogrāfiskais sadalījums, veicina energosistēmas elastību un atjaunīgās elektroenerģijas īpatsvara palielināšanos elektrosistēmā" (34. lpp), Klimata un enerģētikas ministrija izsaka priekšlikumu veikt precizējošas  izmaiņas sekojošajā nodaļas teikumā:  "Papildus tam šādu tehnoloģiju īpašnieki var samazināt savas energoapgādes pakalpojumu izmaksas – V2G pakalpojumi piedāvā lētākas, videi nekaitīgākas elektroenerģijas patēriņu, kā arī mazāku maksu par pakalpojumiem elektrotīklā", ierosinot veikt grozījumus redakcijā, kura pievienota atzinumam. Pamatojot ierosinājumu, Klimata un enerģētikas ministrija norāda, ka ņemot vērā energoapgādes tirgus īpatnības un tam raksturīgās cenu svārstību, par pilnībā pamatotu nevar uzskatīt viedokli, ka mikroģenerācijas iekārtu un akumulācijas iekārtu, tai skaitā V2G iekārtu lietošana ir visos gadījumos uzskatāma par lētāko elektroenerģijas apgādi, jo elektroenerģijas faktiskās ražošanas izmaksas (ieskaitot uz tām attiecināmās kapitāla izmaksas) mirkoģenerācijas iekārtā var būt augstākas, nekā iespējamās elektroenerģijas vairumtirdzniecības cenas. Vienlaikus Klimata un enerģētikas ministrija pievērš uzmanību, ka par būtisku ekonomisku priekšrocību minēto tehnoloģisko risinājumu lietošanai no lietotāja viedokļa var uzskatīt arī ar to saistīto izmaksu prognozējamību un ilgtermiņa stabilitāti. Ministrija arī, balstoties uz spēkā esošo elektroenerģijas tarifu struktūru, pievērš uzmanību faktam, ka mikroģenerācijas iekārtu un V2G vai citu akumulācijas iekārtu ietekme uz lietotāja gala izmaksām ir būtiski atkarīga no lietotāja uzvedības, un minēto tehnoloģisko iekārtu iegāde izmantošana pati par sevi nevar tikt uzskatīta par priekšnosacījumu lietotāja izmaksu samazinājumam par elektroenerģijas tīkla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šādu tehnoloģiju īpašnieki var samazināt savas energoapgādes pakalpojumu izmaksas – V2G pakalpojumi piedāvā ekonomiski konkurētspējīgas un no izmaksu viedokļa ilgtspējīgas, videi nekaitīgākas elektroenerģijas patēriņu, kā arī iespēju samazināt elektrotīkla pakalpojumu izmantošanas apjomu, šādi samazinot lietotāju izmaksas par pakalpojumiem elektrotīklā".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labota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stratēģijas tekstā  izmantoto saīsinājumu lietojumu – norādām, ka  saīsinājumu tabulā ir iekļauti vairāki saīsinājumi, bet turpmāk stratēģijā atsevišķos gadījumos tiek lietots nevis saīsinājums, bet pilnais nosaukums. Tāpat aicinām pārliecināties par stratēģijā ievietoto  attēlu atsaucēm un Nr., piemēram,  lūdzam pārliecināties, kas domāts ar “x.Attēlu” 37.lpp. otrajā rindkopā: “Pēc jauna Administratīvo teritoriju un apdzīvoto vietu likuma pieņemšanas notikusi pāreja uz 42 pašvaldībām — 10 valstspilsētām (Daugavpils, Jelgava, Jēkabpils, Jūrmala, Liepāja, Ogre, Rēzekne, Rīga, Valmiera un Ventspils) un 32 novadiem, kas ar nedaudziem izņēmumiem tika izveidoti agrāko rajonu teritorijās (x.Attēls). 2021. gadā Latvijas teritorijā bija 512 pagasti (3.attēls).”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un informatīvā ziņojuma saīsinājumu lietojums pārskatīts un pēc nepieciešamības labots. Pārskatīta un labota attēlu un tabulu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25.oktobra Ministru kabineta noteikumos Nr. 673 noteikto projektu īstenošanas termiņu un Atveseļošanas un noturības mehānisma plānā virzītos grozījumus 3.1.1.6.i. investīcijas 108. mērķrādītāja nosaukumā, vērtībā un aprakstā (saskaņota redakcija ar Eiropas Komisiju), kurā vērtē nevis noslēgtajos līgumos piesaistīto finansējumu, bet gan bezemisiju skolu autobusu skaitu saskaņā ar piešķirtajām līgumu slēgšanas tiesībām, lūdzam precizēt stratēģijas 30.lp. 1.rindkopas pēdējo teikumu šādā redakcijā:  “Savukārt līdz 2025. gada 31.decembrim pašvaldības, piesaistot Atveseļošanas un noturības fonda investīcijas, plāno iegādāties  21 bezemisiju transportlīdzekli skolēnu pārvadājumu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labota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25.oktobra Ministru kabineta noteikumos Nr. 673 noteikto projektu īstenošanas termiņu un Atveseļošanas un noturības mehānisma plānā virzītos grozījumus 3.1.1.6.i. investīcijas 108. mērķrādītāja nosaukumā, vērtībā un aprakstā (saskaņota redakcija ar Eiropas Komisiju), kurā vērtē nevis noslēgtajos līgumos piesaistīto finansējumu, bet gan bezemisiju skolu autobusu skaitu saskaņā ar piešķirtajām līgumu slēgšanas tiesībām, lūdzam precizēt stratēģijas 29.lp. 2.  rindkopu šādā redakcijā:  “Saskaņā ar 2022.gada 25.oktobra Ministru kabineta noteikumiem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līdz 2025. gada 31.decembrim Atveseļošanas fonda ietvaros plānots iegādāties vismaz 15 bezemisiju transportlīdzekļus skolēnu pārvadājumu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labota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informatīvā ziņojuma tekstā  izmantoto saīsinājumu lietojumu – norādām, ka saīsinājumu tabulā ir iekļauti vairāki saīsinājumi, bet turpmāk informatīvajā ziņojumā atsevišķos gadījumos tiek lietots nevis saīsinājums, bet pilnais nosaukums. Tāpat aicinām pārliecināties, vai  informatīvā ziņojuma 6.lp. ir iekļauti nepieciešamie attēli ( ir norāde uz 1. un 2.attēlu, bet iekļauts  tikai viens attēls).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un informatīvā ziņojuma saīsinājumu lietojums pārskatīts un pēc nepieciešamības labots. Pārskatīta un labota attēlu un tabulu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biometānam, kas tiek ievadīts dabasgāzes pārvades vai sadales sistēmā, ir jāatbilst tām pašām kvalitātes prasībām, kādas ir noteiktas dabasgāzei. Klimata un enerģētikas ministrija aicina precizēt minēto apgalvojumu, ievērojot, ka saskaņā ar Ministru kabineta 2022. gada 13. septembra noteikumiem Nr. 567 "Noteikumi par prasībām biometāna un gāzveida stāvoklī pārvērstas sašķidrinātās dabasgāzes ievadīšanai un transportēšanai dabasgāzes pārvades un sadales sistēmā" dabasgāzes apgādes sistēmā ievadamajā biometānā atšķirībā no dabasgāzes nav pieļaujama etāna, propāna, butāna un augstāku ogļūdeņražu klātbūtne.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šādā redakcijā: "Biometānam, kas tiek ievadīts dabasgāzes pārvades vai sadales sistēmā, ir jāatbilst tām pašām kvalitātes prasībām, kādas ir noteiktas dabasgāzei, vienlaikus ievērojot, ka saskaņā ar Ministru kabineta 2022. gada 13. septembra noteikumiem Nr. 567 "Noteikumi par prasībām biometāna un gāzveida stāvoklī pārvērstas sašķidrinātās dabasgāzes ievadīšanai un transportēšanai dabasgāzes pārvades un sadales sistēmā" dabasgāzes apgādes sistēmā ievadāmajā biometānā atšķirībā no dabasgāzes nav pieļaujama etāna, propāna, butāna un augstāku ogļūdeņražu klātbūtne."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11.lpp. otro rindkopu, papildinot to ar atsauci uz konkrētiem NEKP2030 pasākumiem metāna, tostarp biometāna, izmantošanas veicināšanai transportā. Lai neradītu maldīgu priekšstatu par NEKP2030 iekļautajiem pasākumiem, lūdzam šajā rindkopā izmantot terminu metāns, kas aptver gan dabasgāzi, gan biometānu.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nav īstenotas atbalsta programmas dabasgāzes transportlīdzekļu iegādei, taču NEKP2030 ir iekļauti pasākumi metāna transportlīdzekļu iegādes veicināšanas programmu īstenošanai (NEKP2030 3.1.1.6. un 3.1.1.17. pasākums). Vienlaikus, ņemot vērā grūti dekarbonizējamo kravas transportlīdzekļu segmentu un nepieciešamību nodrošināt pietiekamu apjomu sabiedriskā transporta transportlīdzekļu kā kritisko infrastruktūru, būtu apsverama kravas transportlīdzekļu vai sabiedriskā transporta transportlīdzekļu pārbūves iespēja no dīzeļdegvielas uz metāna izmantošanu (NEKP2030 3.1.1.6. un 3.1.1.17. pasākums), kā arī iespēja veicināt metāna izmantošanu jūras transportā (NEKP2030 3.1.1.18.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regulas numuru informatīvā ziņojuma 12. lappusē uz "Regulas 2023/2405" (ReFuelEU Aviation) un pievienot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iekļaujot norādītos labojumus.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prcizēt informatīvā ziņojuma 6. lappuses attēla numuru un attiecīgi aktualizēt attēlu numerāciju visā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labota attēlu un tabulu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mērķrādītāji un mērķi attiecībā uz mazas noslodzes elektrisko transportlīdzekļu uzlādes infrastruktūru” sadaļā pārbaudīt minētus datus, summas un formulas. Iespējamie neprecizitātes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 tabula, maršruta kopgaruma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tabula, A6 Rīga–Daugavpils–Krāslava–Baltkrievijas robeža maršruta kopgarums šķiet pārāk mazs, un atšķiras no tāda pati rādītāja 17. tabulā. 17. tabulā A6 maršruta kopgarums ir mazāks nekā šī maršruta posma garums, kurā GVDI ir mazāka par 2000 lielas noslodzes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10.tabula, uzlādes parku kopējā izejas jauda 2027.g. un 13. tabula, uzlādes parku kopējās izejas jauda 2025.g. (rezultāts neatbilst aprēķiniem pēc atbilstošas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formulām ir jāizmanto “TEN-T visaptverošā tīkla kopgarums (km) ar atkāpēm / 60”. Taču pēc aprēķinu rezultātiem izskatās, ka formulā faktiski ir izmantots uzlādes parku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precizēti, ņemot vērā izmaiņas, kas rodas grozījumu Ministru kabineta 29.09.2009. noteikumos Nr.1104 "Noteikumi par valsts autoceļu un valsts autoceļu maršrutā ietverto pašvaldībām piederošo autoceļu posmu sarakstiem"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(11.lpp. pirmais teikums) ir minēts, ka “dabasgāzes izmantojums ceļa transportā ir palielinājies 43 reizes – no 2 TJ 2018.gadā līdz 112 TJ 2023.gadā.”. Lūdzam pārbaudīt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sniegtie dati, kas balstās uz Centrālās statistikas pārvaldes energobilanci. Dati un aprēķini ir korekti.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(8.lpp., sadaļā “elektroenerģija”) ir minēts, ka “Latvijā elektroenerģijas patēriņš transportā ir stabils – apmēram 0,7% no kopējā energoresursu patēriņa transporta sektorā.” Un pēc tam ir minēts, ka ETL skaits no 2021.g. līdz 2024.g. pieauga vairākas reizes. Elektroenerģijas īpatsvars energoresursu patēriņā transporta sektorā ir stabils neatkarīgi no ETL skaita pieauguma, vai tas bija stabils līdz 2021.g.? Lūdzam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Sniegtā informācija ir korekta - dati ņemti no Centrālās statistikas pārvaldes energobilances. Tas, ka ETL skaits vairākkārt ir palielinājies, būtiski nepalielina elektroenerģijas patēriņa īpatsvaru kopējā transporta enerģijas patēriņā, jo pašu ETL īpatsvars joprojām ir neliels.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(4.lpp. pēdējais teikums) ir minēts, ka “pašreizējā uzlādes infrastruktūras paplašināšana varētu ietekmēt pieprasījumu pēc elektroenerģijas.” Lūdzam papildināt ziņojumu ar paskaidrojumu kā un kāda mērā uzlādes infrastruktūras paplašināšana varētu ietekmēt pieprasījumu pēc elektroenerģijas.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šādā redakcijā: "Jāņem vērā, ka pašreizējā uzlādes infrastruktūras paplašināšana varētu ietekmēt pieprasījumu pēc elektroenerģijas, tomēr prognozējamais elektromobilitātes enerģijas pieprasījums kopumā nav uzskatāms par kritiski nozīmīgu izaicinājumu, jo arī scenārijā, kas paredz pilnīgi Latvijas pasažieru transporta elektrifikāciju, kopējais Latvijas elektroenerģijas pieprasījuma apjoms ir lēšams mazāks, nekā vēsturiski fiksētais elektroenerģijas patēriņš."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13.lapas trešās rindkopas pirmo teikumu precizēt, to aizstājot ar sekojošu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akcīzes nodokli”</w:t>
            </w:r>
            <w:r w:rsidR="00000000" w:rsidRPr="00000000" w:rsidDel="00000000">
              <w:rPr>
                <w:vertAlign w:val="superscript"/>
                <w:rtl w:val="0"/>
              </w:rPr>
              <w:t xml:space="preserve">28</w:t>
            </w:r>
            <w:r w:rsidR="00000000" w:rsidRPr="00000000" w:rsidDel="00000000">
              <w:rPr>
                <w:rtl w:val="0"/>
              </w:rPr>
              <w:t xml:space="preserve">, bezsvina benzīnam ar augstu bioetanola piejaukumu (E85), kā arī biodīzeļdegvielai un parafinizētai dīzeļdegvielai (B100) tiek piemērotas zemākas akcīzes nodokļa likmes, nekā to fosilajiem analogiem."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iekļaujot norādītos labojumus.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informatīvā ziņojuma 3.lpp 1.rinkdopas tekstu "2023.gada 13.septembrī stājās spēkā Eiropas Parlamenta un Padomes Regula (ES) 2023/1804 par alternatīvo degvielu infrastruktūras ieviešanu un ar ko atceļ Direktīvu 2014/94/ES (turpmāk – Alternatīvo degvielu infrastruktūras regula vai Regula, vai AFIR).", ņemot vērā, ka regulas datums ir 2023.gada 13.septembris (publikācijas datums), bet atbilstoši regulas 26.pantam tā stājās spēkā 20 dienā pēc publicēšanas, kas nozīmē, ka tā ir Eiropas Parlamenta un Padomes 2023.gada 13.septembra Regula (ES) 2023/1804 par alternatīvo degvielu infrastruktūras ieviešanu un ar ko atceļ Direktīvu 2014/94/ES, kas stājās spēkā 2023.gada 3.oktobrī.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labots šādā redakcijā: "2023.gada 3.oktobrī stājās spēkā Eiropas Parlamenta un Padomes Regula (ES) 2023/1804 par alternatīvo degvielu infrastruktūras ieviešanu un ar ko atceļ Direktīvu 2014/94/ES (turpmāk – Alternatīvo degvielu infrastruktūras regula vai Regula, vai AFIR)."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31.lpp precizēt redakciju "Klimata un enerģētikas ministrija ir izstrādājusi tiesību akta projektu ““Modernizācijas fonda finansēto projektu atklāta konkursa "Energoefektivitātes paaugstināšana transporta sektorā – atbalsts elektromobiļu un to uzlādes infrastruktūras ieviešanai" nolikums” iekļaujot korektu Ministru kabineta noteikumu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Minisru kabineta 2024.gada 5.novembra noteikumi Nr.701 "Modernizācijas fonda finansēto projektu atklāta konkursa "Energoefektivitātes paaugstināšana transporta sektorā – atbalsts elektromobiļu un to uzlādes infrastruktūras ieviešanai" nolikums" paredz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precizēta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stratēģijas 29.lpp 1.rindkopu ("</w:t>
            </w:r>
            <w:r w:rsidR="00000000" w:rsidRPr="00000000" w:rsidDel="00000000">
              <w:rPr>
                <w:i w:val="1"/>
                <w:rtl w:val="0"/>
              </w:rPr>
              <w:t xml:space="preserve">Klimata un enerģētikas ministrija starpministriju saskaņošanā ir nodevusi Ministru kabineta noteikumu projektu “Modernizācijas fonda finansēto projektu atklāta konkursa "Energoefektivitātes paaugstināšana transporta sektorā – atbalsts ETL un to uzlādes infrastruktūras ieviešanai" nolikums” (23-TA-1486). Noteikumu projekts paredz sniegt atbalstu granta veidā pašvaldībām, pašvaldību iestādēm, pašvaldību kapitālsabiedrībām, valsts tiešās pārvaldes iestādēm un komersantiem ETL iegādei, kā arī ETL uzlādes infrastruktūras un atjaunīgo energoresursu iekārtu ieviešanai Latvijā</w:t>
            </w:r>
            <w:r w:rsidR="00000000" w:rsidRPr="00000000" w:rsidDel="00000000">
              <w:rPr>
                <w:rtl w:val="0"/>
              </w:rPr>
              <w:t xml:space="preserve">."), ņemot vērā, ka attiecīgais Ministru kabineta noteikumu projekts ir jau apstiprināts - https://likumi.lv/ta/id/356200-modernizacijas-fonda-finanseto-projektu-atklata-konkursa-energoefektivitates-paaugstinasana-transporta-sektoraatbalsts-elektromobilu-un-to-uzlades-infrastrukturas-ieviesanainolikums.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precizēta šādā redakcijā: "2024.gada 5.novembrī tika apstiprināti Klimata un enerģētikas ministrijas izstrādātie Ministru kabineta noteikumi “Modernizācijas fonda finansēto projektu atklāta konkursa "Energoefektivitātes paaugstināšana transporta sektorā – atbalsts ETL un to uzlādes infrastruktūras ieviešanai" nolikums” (23-TA-1486)[1].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https://tapportals.mk.gov.lv/legal_acts/674a2e6a-3d75-4a3f-8fcc-4798d913d739"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24-TA-2723</w:t>
    </w:r>
    <w:r>
      <w:br/>
    </w:r>
    <w:r w:rsidR="00000000" w:rsidRPr="00000000" w:rsidDel="00000000">
      <w:rPr>
        <w:rtl w:val="0"/>
      </w:rPr>
      <w:t xml:space="preserve">21.02.2025. 13.20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24-TA-2723</w:t>
    </w:r>
    <w:r>
      <w:br/>
    </w:r>
    <w:r w:rsidR="00000000" w:rsidRPr="00000000" w:rsidDel="00000000">
      <w:rPr>
        <w:rtl w:val="0"/>
      </w:rPr>
      <w:t xml:space="preserve">21.02.2025. 13.20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Izziņa_24-TA-2723.docx</dc:title>
</cp:coreProperties>
</file>

<file path=docProps/custom.xml><?xml version="1.0" encoding="utf-8"?>
<Properties xmlns="http://schemas.openxmlformats.org/officeDocument/2006/custom-properties" xmlns:vt="http://schemas.openxmlformats.org/officeDocument/2006/docPropsVTypes"/>
</file>