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24-TA-3148: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nodokļiem un nodevām"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kā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ietvertajā likuma "Par nodokļiem un nodevām 67.2 panta otrajā daļa pārņemts Padomes 2023. gada 17. oktobra Direktīvas (ES) 2023/2226, ar ko groza Direktīvu 2011/16/ES par administratīvu sadarbību nodokļu jomā (turpmāk - direktīva Nr. 2023/2226) I pielikuma 4. punkta b) apakšpunkts. Norādām, ka minētajā direktīvas apakšpunktā lietots jēdziens "vienība" jeb "entity". Saskaņā ar direktīvas Nr. 2023/2226 termina skaidrojumu "vienība" ("entity") var būt gan juridiska persona, gan juridiskais veidojums. Papildus norādām, ka šie subjekti savā starpā nav salīdzināmi, kā tas izriet arī no Noziedzīgi iegūtu līdzekļu legalizācijas un terorisma un proliferācijas finansēšanas novēršanas likumā ietvertā termina "juridiskais veidojums"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pašreizējā likumprojekta normas redakcija aptver tikai juridiskos veidojumus, lūdzam precizēt tā redakciju, aptverot arī juridiskās personas, tādējādi nodrošinot korektu un pilnīgu direktīvas normu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iebilduma autoru telefoniski izrunāts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Padomes Direktīvas 2014/107/ES (2014. gada 9. decembris), ar ko groza Direktīvu 2011/16/ES attiecībā uz obligāto automātisko informācijas apmaiņu nodokļu jomā, prasības un ieviešot OECD izstrādāto Globālo standartu automātiskai informācijas apmaiņai par finanšu kontiem nodokļu jomā jeb CRS (kas bija par pamatu šai direktīvai), 2015.gadā tika veikti grozījumi likumā “Par nodokļiem un nodevām” (turpmāk – Likums) un izveidota šim regulējumam atsevišķa - XII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CRS ir minimālais globālais standarts, kuru Latvija (attiecībā uz trešajām valstīm) ieviesa parakstot Daudzpusējo kompetento iestāžu līgumu par automātisko informācijas apmaiņu par finanšu kontiem un veicot izmaiņas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CRS standarta globālas darbības būtiska sastāvdaļa ir vienota terminoloģijas pārņemšana un piemērošana. Tā iemesla dēļ standartā lietotā terminoloģija tika pēc iespējas saglabāta, veicot grozījumus Likumā (turklāt OECD veica regulējuma izvērtēšanu, lai secinātu atbilstību CRS).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Likumā ir terminoloģija, kura piemērojama tikai un vienīgi XII nodaļas un Ministru kabineta 2016. gada 5. janvāra noteikumu Nr. 20 “Kārtība, kādā finanšu iestāde izpilda finanšu kontu pienācīgas pārbaudes procedūras un sniedz Valsts ieņēmumu dienestam informāciju par finanšu kontiem” (turpmāk – MK noteikumi Nr. 20)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CRS un direktīvas pārņemtajiem terminiem ir iekļauts Likuma 84.panta pirmajā daļā: “Šīs nodaļas izpratnē juridisks veidojums ir juridiskā persona vai līdzīgs nodibinājums, tajā skaitā kapitālsabiedrība, personālsabiedrība, biedrība, nodibinājums, trasts vai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ziņošanas pienākums un Valsts ieņēmumu dienesta veiktā ziņošanas pienākuma uzraudzība noris jau vairākus gadus un līdz šim nav bijusi informācija, ka būtu problēmas ar termina interpretēšanu.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maksājumu darījumu veikšanai, pretī saņemot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pantu, lai no likuma 88. panta tvēruma netiktu izslēgtas kapitālsabiedrības, bet likuma 88. pants tiktu papildināts, lai tas attiecas gan uz kapitālsabiedrībām, gan juridiskiem veidojumiem vai atbilstoši direktīvas Nr. 2023/2226 un Noziedzīgi iegūtu līdzekļu legalizācijas un terorisma un proliferācijas finansēšanas novēršanas likuma terminoloģijai - uz juridiskām personām un juridiskiem veidojumiem. Vēršam uzmanību, ka no Noziedzīgi iegūtu līdzekļu legalizācijas un terorisma un proliferācijas finansēšanas novēršanas likuma 1. panta pirmās daļas 8. punktā ietvertā termina "juridisks veidojums" skaidrojuma izriet, ka ar šo terminu netiek aptvertas arī kapitālsabiedrības, proti, kapitālsabiedrības nav juridiski veidojumi, bet gan juridiskas personas. Līdz ar to, paredzot, ka likuma 88. pants attieksies uz juridiskiem veidojumiem, šo normu turpmāk nevarēs attiecināt uz kapitālsabiedrībām. Ja likuma normu nepieciešams paplašināt, lai tā aptver plašāku subjektu loku, ne tikai kapitālsabiedrības, tad piemērotāk būtu lietot terminus "juridiskas personas un juridiski veidojumi", līdzīgi kā direktīvā Nr. 2023/2226 un Noziedzīgi iegūtu līdzekļu legalizācijas un terorisma un proliferācijas finansēšanas novēršanas likumā. Līdz ar to aicinām izvērtēt, vai šī norma būtu piemērojama tikai kapitālsabiedrībām un juridiskiem veidojumiem, vai visām juridiskām personām un juridiskiem veidojumiem.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sniegto paskaidrojumu pie 1.iebilduma. Likuma 84.pantā ir noteikts, ka termins “juridisks veidojums” ietver arī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konts, kas ir atvērts uzņēmuma dibināšanai vai kapitāla palielināšanai, un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konts tiek izmantots tikai tāda kapitāla noguldīšanai, ko paredzēts izmantot uzņēmuma dibināšanai vai tā kapitāla palielināšanai, kā noteikts Komerclikumā;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visi kontā turētie līdzekļi tiek iesaldēti līdz brīdim, kad finanšu iestāde, kas sniedz ziņojumus, saņem neatkarīgu apstiprinājumu par uzņēmuma nodibināšanu vai 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konts pēc uzņēmuma nodibināšanas vai kapitāla palielināšanas tiek slēgts vai pārveidots par uzņēmuma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visi atmaksājamie līdzekļi, kas izriet no neveiksmīgas uzņēmuma  dibināšanas vai kapitāla palielināšanas, atskaitot pakalpojumu sniedzēja un tamlīdzīgas maksas, tiek veikti tikai tām personām, kuras bija līdzekļus iemaksājušas;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konts tika izveidots ne agrāk kā pirms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likumprojektā, tostarp likumprojekta 13. pantā aizstāt vārdu "uzņēmums" visos locījumos ar piemērotāku terminu, kas atbilst normas mērķim, piemēram, "kapitālsabiedrība". Vēršam uzmanību, ka likumā "Par nodokļiem un nodevām" termins "uzņēmums" tiek lietots tikai specifiskās kombinācijās ("saistīts ārvalstu uzņēmums", "ārvalstu uzņēmumu grupa", uzņēmuma ienākuma nodoklis, uzņēmuma līgums), bet netiek lietots, lai apzīmētu komercsabiedrības (t.sk. kapitālsabiedrības) un kooperatīvās sabiedrības. Lai gan sarunvalodā termins "uzņēmums" tiek lietots arī attiecībā uz komercsabiedrībām, atbilstoši Komerclikuma 18. pantam "uzņēmums" ir nevis tiesību subjekts, bet gan tiesību objekts – organizatoriski saimnieciska vienība, kuru komercsabiedrība var izmantot, lai nodalītu un organizētu savu darbību (piemēram, komercsabiedrība SIA "Pļava" var izveidot restorānu "Pļavas puķes", kurš būs uzskatāms par uzņēmumu, bet kuram nav tiesību subjekta statusa).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“uzņēmums” aizstāts ar terminu “komercsabiedrība”.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Komerclikuma 128.panta trešo daļu – “Sabiedrības peļņas daļa, kas pienākas komandītam, tiek pieskaitīta viņa kapitāla daļai, līdz tā sasniedz noteiktā ieguldījuma summu”, - termins “uzņēmums” tiek aizstāts ar terminu “komercsabiedrība”, kas ietver arī personālsabiedrības.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ievērojot, ka “pamatkapitāls” ir attiecināms uz kapitālsabiedrībām (nevis komercsabiedrībām kopumā), šajā normas redakcijā tiek saglabāts lietotais vārdu salikums “kapitāla palielināšana”.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konts, kas ir atvērts komercsabiedrības dibināšanai vai kapitāla palielināšanai, un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konts tiek izmantots tikai tāda kapitāla noguldīšanai, ko paredzēts izmantot komercsabiedrības dibināšanai vai tās kapitāla palielināšanai, kā noteikts Komerclikumā;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visi kontā turētie līdzekļi tiek iesaldēti līdz brīdim, kad finanšu iestāde, kas sniedz ziņojumus, saņem neatkarīgu apstiprinājumu par komercsabiedrības nodibināšanu vai 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konts pēc komercsabiedrības nodibināšanas vai kapitāla palielināšanas tiek slēgts vai pārveidots par komercsabiedrības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visi atmaksājamie līdzekļi, kas izriet no neveiksmīgas komercsabiedrības dibināšanas vai kapitāla palielināšanas, atskaitot pakalpojumu sniedzēja un tamlīdzīgas maksas, tiek veikti tikai tām personām, kuras bija līdzekļus iemaksājušas;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konts tika izveidots ne agrāk kā pirms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98.</w:t>
            </w:r>
            <w:r w:rsidR="00000000" w:rsidRPr="00000000" w:rsidDel="00000000">
              <w:rPr>
                <w:b w:val="1"/>
                <w:vertAlign w:val="superscript"/>
                <w:rtl w:val="0"/>
              </w:rPr>
              <w:t xml:space="preserve">1</w:t>
            </w:r>
            <w:r w:rsidR="00000000" w:rsidRPr="00000000" w:rsidDel="00000000">
              <w:rPr>
                <w:b w:val="1"/>
                <w:rtl w:val="0"/>
              </w:rPr>
              <w:t xml:space="preserve"> pants. Identifikācijas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izpratnē identifikācijas pakalpojums ir elektronisks pakalpojums, kuram Eiropas Savienības dalībvalsts vai Eiropas Savienība nodrošina bez maksas piekļuvi finanšu iestādei, kas sniedz ziņojumus, lai pārliecinātos par konta turētāja vai patiesā labuma guvēja identitāti un nodokļu rezidenci."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likumprojektā skaidrot vienīgi terminus, kuri likumprojekta (likuma "Par nodokļiem un nodevām") pamattekstā tiek lietoti, un izslēgt vai precizēt likumprojekta 14. pantu, piemēram, nepieciešamības gadījumā nodrošinot minētā pakalpojuma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likumprojektā, svītrojot šo normu (un attiecīgi veiktas izmaiņas arī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1. un 2. apakšpunktu ar vārdiem "un norāde, vai konta turētājs ir iesniedzis tādu klienta paša sniegtu apliecinājumu par nodokļu rezidenci, uz kuru var paļauties";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direktīvas Nr. 2023/2226 I pielikuma 1. punkta i) apakšpunktā noteikts, ka norādītā informācija ir jāiesniedz par vienībām, kas aptver ne tikai juridiskos veidojumu, bet arī juridiskās personas, lūdzam izvērtēt nepieciešamību papildināt grozītā likuma 100. panta pirmo daļu ar regulējumu, kas attiecināms uz juridiskajām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pie 1.iebilduma.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1. un 2. apakšpunktu ar vārdiem "un norāde, vai konta turētājs ir iesniedzis tādu paša sniegtu apliecinājumu par nodokļu rezidenci, uz kuru var paļauties";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1. un 2. apakšpunktu ar vārdiem "un norāde, vai konta turētājs ir iesniedzis tādu klienta paša sniegtu apliecinājumu par nodokļu rezidenci, uz kuru var paļauties";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2023/2226 I pielikuma 1. punkta i) apakšpunktā noteikts, ka par vienībām (juridiskajām personām un juridiskajiem veidojumiem) ir jāsniedz arī informācija saistībā ar vienības kontrolējošajām personām. Direktīvas IV iedaļas D sadaļas 9. punkts noteic, ka kontrolējošā persona ir tā fiziskā persona, kura īsteno kontroli pār vienību, proti, tās patiesais labuma guvējs. Ievērojot minēto, lūdzam izvērtēt, vai grozītā likuma 100. panta pirmās daļas 2. punktu nav nepieciešams papildināt ar iesniedzamo informāciju par juridiskā veidojuma patieso labuma guvēju, un attiecīgi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pie 1.iebilduma.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1. un 2. apakšpunktu ar vārdiem "un norāde, vai konta turētājs ir iesniedzis tādu paša sniegtu apliecinājumu par nodokļu rezidenci, uz kuru var paļauties";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3. apakšpunktā vārdus "adrese, attiecīgās iesaistītās valsts nosaukums, nodokļu maksātāja identifikācijas numurs (ja tāds tiek piešķirts)" ar vārdiem "personas, par kuru jāsniedz ziņojums, statuss, ja persona atbilst juridiskā veidojuma patiesajam labuma guvējam, adrese, attiecīgās iesaistītās valsts nosaukums, nodokļu maksātāja identifikācijas numurs (ja tāds tiek piešķirts), kā arī norāde, vai par katru personu, par kuru jāsniedz ziņojums, ir iesniegts klienta paša sniegts apliecinājums par nodokļu rezidenci, uz kuru var paļauties;";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nacionāli juridiskā veidojuma patiesā labuma guvēja definīcija ir ietverta Noziedzīgi iegūtu līdzekļu legalizācijas un terorisma un proliferācijas finansēšanas novēršanas likuma 1. panta pirmās daļas 5. punktā un ka tā ir atšķirīga juridiskajai personai un juridiskajam veidojumam. Līdz ar to lūdzam izvērtēt, vai šī sadaļa ir attiecināma tikai uz juridiskajiem veidojumiem, vai arī juridiskajām personām un nepieciešamības gadījumā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pie 1.iebilduma. Vienlaikus Likuma 83.pants nosaka, ka “Šīs nodaļas izpratnē termins </w:t>
            </w:r>
            <w:r w:rsidR="00000000" w:rsidRPr="00000000" w:rsidDel="00000000">
              <w:rPr>
                <w:i w:val="1"/>
                <w:rtl w:val="0"/>
              </w:rPr>
              <w:t xml:space="preserve">"patiesais labuma guvējs" tiek lietots Noziedzīgi iegūtu līdzekļu legalizācijas un terorisma un proliferācijas finansēšanas novēršanas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3. apakšpunktā vārdus "adrese, attiecīgās iesaistītās valsts nosaukums, nodokļu maksātāja identifikācijas numurs (ja tāds tiek piešķirts)" ar vārdiem "personas, par kuru jāsniedz ziņojums, statuss, ja persona ir juridiskā veidojuma patiesais labuma guvējs, adrese, attiecīgās iesaistītās valsts nosaukums, nodokļu maksātāja identifikācijas numurs (ja tāds tiek piešķirts), kā arī norāde, vai par katru personu, par kuru jāsniedz ziņojums, ir iesniegts paša sniegts apliecinājums par nodokļu rezidenci, uz kuru var paļauties;";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personas, par kuru jāsniedz ziņojums, statuss, ja persona atbilst juridiskā veidojuma patiesajam labuma guvējam un ir līdzdalības daļas kapitālā turētājs tādā ieguldījumu iestādē, kas ir izveidota uz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saikļa "un" vietā nav izmantojams saiklis "vai", un attiecīgi precizēt, ņemot vērā, ka no direktīvas Nr. 2023/2226 izriet, ka informācija noteiktos gadījumos sniedzama par "veicamo(-ajiem) pienākumu(-iem), kura(-u) dēļ katra Persona, par kuru jāsniedz ziņojums, ir Vienības kontrolējošā persona vai Līdzdalības daļu kapitālā turētāja".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I pielikuma 1.punkta a.iii) apakšpunkta pārņemta redakcija: “Ja Ieguldījumu vienībā, kas ir juridisks veidojums, tiek turēta līdzdalības daļa – veicamais(-ie) pienākums(-i), kura(-u) dēļ Persona, par kuru jāsniedz ziņojums, ir līdzdalības daļas turētājs;”.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tika pārveidota, lai uzlabotu tās uztveramību. Ņemot vērā, ka jāizpildās abiem iekļautajiem nosacījumiem, proti, - “personai, par kuru jāsniedz ziņojums, ir līdzdalības daļas ieguldījumu vienībā, kas ir juridisks veidojums” un “personai ir līdzdalības daļas šajā juridiskā veidojumā”.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statuss, pamatojoties uz kuru persona, par kuru jāsniedz ziņojums, ir līdzdalības daļu kapitālā turētājs, ja šīs līdzdalības daļas tiek turētas ieguldījumu iestādē, kas ir izveidota uz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personas, par kuru jāsniedz ziņojums, statuss, ja persona atbilst juridiskā veidojuma patiesajam labuma guvējam un ir līdzdalības daļas kapitālā turētājs tādā ieguldījumu iestādē, kas ir izveidota uz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nacionāli juridiskā veidojuma patiesā labuma guvēja definīcija ir ietverta Noziedzīgi iegūtu līdzekļu legalizācijas un terorisma un proliferācijas finansēšanas novēršanas likuma 1. panta pirmās daļas 5. punktā un ka tā ir atšķirīga juridiskajai personai un juridiskajam veidojumam. Līdz ar to lūdzam izvērtēt, vai šī sadaļa ir attiecināma tikai uz juridiskajiem veidojumiem vai arī juridiskajām personām un nepieciešamības gadījumā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pie 1.iebilduma.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statuss, pamatojoties uz kuru persona, par kuru jāsniedz ziņojums, ir līdzdalības daļu kapitālā turētājs, ja šīs līdzdalības daļas tiek turētas ieguldījumu iestādē, kas ir izveidota uz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aprakstu par likumprojekta 15. pantu atbilstoši veiktajiem labojumiem pašā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aprakstu par likumprojekta 11. pantu, ņemot vērā nepieciešamos labojumus likumprojekta 11. panta redakcijā. Skaidrojam, ka izņēmuma attiecināšana uz visiem juridiskiem veidojumiem nenozīmē, ka izņēmums tiek paplašināts, bet gan sašaurināts, jo tas no normas piemērošanas izslēdz kapitālsabiedrības, kuras nav juridiski veidojumi, bet gan ir juridiskas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pie 1.iebilduma.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zem sadaļas "juridiskās personas", norādot tikai uz juridiskajām personām, kas veic darījumus ar kriptoaktīviem, tiek aptverta visa vēlamā mērķa grupa, ņemot vērā to, ka juridiskā persona un juridiskais veidojums nav viens un tas pats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likumprojekta anotācijas 5.4. apakšsadaļas 1. tabulu.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nepieciešams sniegt skaidrojumu par direktīvas Nr. 2023/2226 1. panta 11. un 16. punktā ietverto prasību pārņemšanas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direktīvas Nr. 2023/2226 1. panta 7. punkta "b" apakšpunkts faktiski varētu būt pārņemts likumprojekta 2. pantā ietvertā likuma "Par nodokļiem un nodevām" 18.1 panta 5.4 daļā, tādēļ nepieciešams izvērtēt un atbilstoši precizēt 1. tabulā sniegto informāciju. Līdzīgi nepieciešams izvērtēt, vai daļēji arī likumprojektā nav pārņemtas vairākas no minētās direktīvas 1. panta 19. punktā ietvertajām prasībām (sk. III pielikuma IV iedaļu);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nepieciešams izvērst sniegto informāciju (punktu, apakšpunktu un daļu līmenī) par direktīvas Nr. 2023/2226 1. panta 16., 17. un 19. punkta pārņemšanu, tādējādi nodrošinot, ka kāda no minētās direktīvas prasībām nepaliek nepārņemta vai veids, kādā paredzēts tās pārņemt, nav neatbilstošs. Norādām, ka šobrīd nav gūstama pārliecība par direktīvā Nr. 2023/2226 ietvertās grozītās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pielikuma I iedaļas A punkta 6.a. apakšpunkta pienācīgu pārņemšanu, jo no minētās normas pirmšķietami neizriet, ka informācija par personu, kas ir līdzdalības daļas kapitālā turētājs ieguldījumu iestādē jāsniedz vienīgi gadījumā, ja šī persona ir arī patiesais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pielikuma VI iedaļas 2. punkta "b" apakšpunkta, VII iedaļas Aa. punkta, VIII iedaļas A punkta 10. apakšpunkta, B punkta 1. apakšpunkta "a" punkta, IX iedaļas otrās daļas un XI iedaļas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VIII iedaļas A punkta 6. apakšpunktā ietverto prasību pienācīgu pārņemšanu, ņemot vērā, ka minētajā apakšpunktā norādīts, ka “citāda Finanšu aktīvu, naudas vai Kriptoaktīvu, par kuriem jāsniedz ziņojumi, ieguldīšana, administrēšana vai pārvaldība citu personu vārdā” neietver pakalpojumu, ar ko veic Maiņas darījumus, sniegšanu klientu uzdevumā vai vārdā", savukārt likumprojekta 8. pantā norādīts vienīgi uz pakalpojumu sniegšanu klientu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DAC8 1. panta 11. un 16. punktā ietverto ir papildināta anotācijas 5.sadaļas 1.tabula.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Valsts ieņēmuma dienesta mājas lapā publiskojamo datu bāzē ir iespējams pārbaudīt nodokļu maksātāja numuru sadaļā “Nodokļu maksātāji un nodokļu maksātāju struktūrvienību reģistrs”, kur ievadot vārdu, uzvārdu  un reģistrācijas kodu (fiziskām personām vai juridiskām personām), ir iespējams pārliecināties, vai šāds nodokļu maksātājs ir reģistrēts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DAC8 1. panta 7. punkta "b" apakšpunktu – precizēta anotācijas 5.sadaļas 1.tabula.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 panta 19. punktā ietvertajām prasībām (sk. III pielikuma IV iedaļu) – DAC8 III pielikums attiecas uz ziņošanu par darījumiem ar kriptoaktīviem, kas tiks pārņemts ar jaunajiem Ministru kabineta noteikumiem. Likumprojektā ietvertie jaunie termini attiecas uz ziņošanu par finanšu kontiem un ir piemērojami Likuma XII nodaļas un MK noteikumu Nr.20 ietvaros. Terminu definīcijas atkārtojas abos OECD standartos (CRS grozījumi, kas ietverti DAC8 I. pielikumā, un CARF standarts, kas ietverts DAC8 III. pielikumā), lai starp abiem standartiem būtu efektīva mijiedarbība un pēc iespējas mazākas novirzes to piemērošanā 19. punktā ietvertās prasības (skat. III pielikuma IV sadaļu ir plānots pārņemt izstrādājot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DAC8 1. panta 17. punktu – papildināta anotācijas 5.sadaļas 1.tabula, detalizēti norādot pārņemtās direktīvas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ierosinām precizēt šo panta daļu, lai būtu nepārprotami skaidrs, kam ir pienākums ziņot Valsts ieņēmumu dienestam par darījumiem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jebkuram nodokļu maksātājam šā likuma izpratnē (skat. definīciju grozāmā likuma 1.panta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tikai tādam nodokļu maksātājam, kurš ir kriptoaktīvu pakalpojumu sniedzējs (kā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līdzīga rakstura deleģējuma norma ir ietverta likuma "Par nodokļiem un nodevām” 15.panta gan desmitajā (saistībā ar ziņojamām pārrobežu shēmām), gan vienpadsmitajā daļā (attiecībā uz nodokļu maksātājiem - ziņojošajiem digitālo platformu operatoriem) un tās piemērošana nav radījusi sarežģījumus. Tas, ka konkrētajā normā norādīts nodokļu maksātājs, nenozīmē, ka konkrētais pienākums attiecas uz visiem nodokļu maksātājiem, jo ne visiem ir saistība ar darījumiem ar kriptoaktīviem. Turklāt likumprojekta konkrētās normas formulējums vērš uzmanību, ka likuma regulējums ir neatraujami lasāms/piemērojams kopā ar konkrētiem Ministru kabineta noteikumiem, kuros detalizēti tiks atrunāti jautājumi, kurus likumdevējs ir uzdevis noregulēt.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termins "kriptoaktīvs" šajā panta daļā skaidrots visa likuma (nevis atsevišķas nodaļas) izpratnē, šā termina skaidrojumu ierosinām pārcelt uz likuma 1.pantu, kurā ir skaidroti šajā likumā lietotie termini.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ka Likums ir nodokļu un nodevu sistēmas principus, nodokļu un nodevu noteikšanas, aprēķināšanas, iekasēšanas un atmaksāšanas kārtību, nodokļu un nodevu maksātāju un nodokļu administrācijas tiesības un pienākumus regulējošs pamatlikums (likuma darbības sfēra definēta konkrētā Likuma 2.pantā). Likuma 1.pantā ir definēti likuma pamattvēruma termini. Termins “kriptoaktīvs” noteikti nav Likuma pamatregulējuma jautājums. Priekš tam ir speciālais likums  - Kriptoaktīvu pakalpojumu likums, kur 1.pantā būtu loģiski definēt šāda veida terminus, jo tie ir šī likuma pamatjautājumi. Kriptoaktīvu pakalpojumu likumā attiecībā uz šajā likumā lietoto terminu izpratni ir atsauce uz MiCA regulas (Eiropas Parlamenta un Padomes 2023. gada 31. maija regula (ES) 2023/1114 par kriptoaktīvu tirgiem un ar ko groza regulas (ES) Nr. 1093/2010 un (ES) Nr. 1095/2010 un direktīvas 2013/36/ES un (ES) 2019/1937 ) 3. pantu, kurā ir definēti visi regulā lietotie termini. Savukārt Likumprojekta normas redakcijā ir ietverta atsauce tieši uz termina “kriptoaktīvs” definīciju, tādējādi atvieglojot normas uztveramību,  piemērošanu un arī veicinot tiesisko noteiktību. Tāpēc kā atbilstošākais risinājums ir izvēlēts konkrēto terminu skaidrot tieši Likuma 15.panta divpadsmitajā daļā, kur tas pirmo reizi tiek izmantots, nevis iekļaut pie Likuma pamatterminiem.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panta daļā Ministru kabinetam būtībā tiek dots pilnvarojums noteikt gan nosacījumus, gan kārtību, kādā nodokļu maksātājam ir pienākums ziņot par darījumiem ar kriptoaktīviem. Tiesiskās skaidrības nodrošināšanai ierosinām jau likumā atrunāt nosacījumus, pie kādiem iestājas paziņošanas pienākums, savukārt šā pienākuma izpildes nodrošināšanai nepieciešamā regulējuma izdošanu deleģēt Ministru kabinetam. Kā vairākkārt atzīts Satversmes tiesas spriedumos, lai gan visus jautājumus likumā detalizēti un pilnībā noregulēt nav mērķtiecīgi, likumdevējam šie jautājumi tomēr ir jāapsver (piemēram, skat. Satversmes tiesas 2011.gada 11.janvāra sprieduma lietā Nr.2010-40-03 11.punktu). Likumdevējs, pilnvarojot izpildvaru izstrādāt regulējumu kādā jautājumā, nedrīkst radīt risku, ka līdzsvars starp likumdevējvaru un izpildvaru varētu nosvērties uz izpildvaras pusi tiktāl, ka tiktu apdraudēts varas dalīšanas princips un līdz ar to arī demokrātiskas valsts iekārtas būtība (skat. Satversmes tiesas 2011.gada 11.janvāra sprieduma lietā Nr.2010-40-03 10.2.punktu).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iestājoties kuriem, rodas ziņošanas pienākums, ir apjomīgi, direktīvā tās ir vairākas normas, kuras nav iespējams izklāstīt konspektīvi Likuma konkrētajā normā. Ja konkrētais regulējums tiktu iekļauts Likumā, tas nozīmētu jauna panta vai nodaļas veidošanu, kas tikai vēl vairāk apgrūtinātu Likuma regulējuma uztveramību. Arī Saeima pēdējos gados, pārņemot informācijas apmaiņas direktīvas, vairākkārtīgi ir atbalstījusi šādu pieeju, ka Likumā ir iekļaujams vienīgi pamatpienākums konkrētās informācijas iesniegšanai un deleģējums Ministru kabinetam noteikt pārējo ar informācijas sniegšanu/apmaiņu saistīto regulējumu. Tā šobrīd tas ir noteikts Likuma 15.panta: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devītajā daļā saistībā ar pienākumu iesniegt Valsts ieņēmumu dienestam starptautiskas uzņēmumu grupas pārskatu par katru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desmitajā daļā saistībā ar pienākumu iesniegt Valsts ieņēmumu dienestam informāciju par ziņojamām pārrobežu shēmām, kuras saistītas ar iespējami agresīvu nodokļu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vienpadsmitajā daļā saistībā ar pienākumu iesniegt Valsts ieņēmumu dienestam informāciju par pārdevējiem, kuri gūst ienākumus, darbojoties konkrētajā digitālajā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visu nosacījumu, kas saistīti ar konkrēto regulējumu, ietveršana Ministru kabineta noteikumos atvieglos darbu ziņojošo kriptoaktīvu platformu operatoriem, jo visas prasības būs vienuviet.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divpadsmito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Iestājoties nodokļu normatīvajos aktos minētajiem nosacījumiem, nodokļu maksātājam ir pienākums iesniegt Valsts ieņēmumu dienestam ziņojumu par darījumiem ar kriptoaktīviem. Nosacījumus, kuriem iestājoties ir sniedzama informācija, iesniedzamās informācijas apjomu un kārtību, kādā informācija tiek iegūta, pārbaudīta un iesniegta Valsts ieņēmumu dienestam, pasākumus, kādi veicami automātiskās informācijas apmaiņas nodrošināšanai, kārtību, kādā Valsts ieņēmumu dienests veic automātisko informācijas apmaiņu ar citu Eiropas Savienības dalībvalstu kompetentajām iestādēm vai citas valsts vai teritorijas kompetento iestādi, ar kuru Latvijas Republikas kompetentā iestāde, pamatojoties uz Latvijas Republikas noslēgto starptautisko līgumu, noslēgusi attiecīgu kompetento iestāžu līgumu, nosaka Ministru kabinets. Šā likuma izpratnē termins "kriptoaktīvs" atbilst Eiropas Parlamenta un Padomes 2023. gada 31. maija regulas (ES) 2023/1114 par kriptoaktīvu tirgiem un ar ko groza regulas (ES) Nr. 1093/2010 un (ES) Nr. 1095/2010 un direktīvas 2013/36/ES un (ES) 2019/1937, 3. panta 1. punkta 5. apakšpunktā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32.</w:t>
            </w:r>
            <w:r w:rsidR="00000000" w:rsidRPr="00000000" w:rsidDel="00000000">
              <w:rPr>
                <w:vertAlign w:val="superscript"/>
                <w:rtl w:val="0"/>
              </w:rPr>
              <w:t xml:space="preserve">5</w:t>
            </w:r>
            <w:r w:rsidR="00000000" w:rsidRPr="00000000" w:rsidDel="00000000">
              <w:rPr>
                <w:rtl w:val="0"/>
              </w:rPr>
              <w:t xml:space="preserve">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administrācijai ir tiesības piemērot nodokļu maksātājam soda naudu līdz 14 000 </w:t>
            </w:r>
            <w:r w:rsidR="00000000" w:rsidRPr="00000000" w:rsidDel="00000000">
              <w:rPr>
                <w:i w:val="1"/>
                <w:rtl w:val="0"/>
              </w:rPr>
              <w:t xml:space="preserve">euro</w:t>
            </w:r>
            <w:r w:rsidR="00000000" w:rsidRPr="00000000" w:rsidDel="00000000">
              <w:rPr>
                <w:rtl w:val="0"/>
              </w:rPr>
              <w:t xml:space="preserve">, ja nodokļu maksātājs nav ievērojis ziņojuma sniegšanas termiņu, kas noteikts normatīvajos aktos, kuri regulē automātisko informācijas apmaiņu attiecībā uz ziņojošā kriptoaktīvu pakalpojuma sniedzēja rīcībā esošu informāciju par darījumiem ar kriptoaktīviem, vai, ja tas nav ievērojis attiecīgās pienācīgas pārbaudes procedūras vai citus noteikumus par automātisko informācijas apmaiņu attiecībā uz tā rīcībā esošo informāciju par darījumiem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pēc būtības paredz soda naudas piemērošanu </w:t>
            </w:r>
            <w:r w:rsidR="00000000" w:rsidRPr="00000000" w:rsidDel="00000000">
              <w:rPr>
                <w:u w:val="single"/>
                <w:rtl w:val="0"/>
              </w:rPr>
              <w:t xml:space="preserve">nodokļu maksātājam</w:t>
            </w:r>
            <w:r w:rsidR="00000000" w:rsidRPr="00000000" w:rsidDel="00000000">
              <w:rPr>
                <w:rtl w:val="0"/>
              </w:rPr>
              <w:t xml:space="preserve">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ziņojuma sniegšanas termiņa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pienācīgas pārbaudes procedūras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w:t>
            </w:r>
            <w:r w:rsidR="00000000" w:rsidRPr="00000000" w:rsidDel="00000000">
              <w:rPr>
                <w:u w:val="single"/>
                <w:rtl w:val="0"/>
              </w:rPr>
              <w:t xml:space="preserve">citu noteikumu </w:t>
            </w:r>
            <w:r w:rsidR="00000000" w:rsidRPr="00000000" w:rsidDel="00000000">
              <w:rPr>
                <w:rtl w:val="0"/>
              </w:rPr>
              <w:t xml:space="preserve">neievērošanu par automātisko informācijas apmaiņu attiecībā uz tā [proti, nodokļu maksātāja] rīcībā esošo informāciju par darījumiem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ierosinām precizēt šo normu, jo tā rada dažādas interpretācijas iespējas,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soda naudu var piemērot jebkuram "nodokļu maksātājam" šā likuma izpratnē (skat. kopsakarā ar termina "nodokļu maksātāji" skaidrojumu grozāmā likuma 1.panta 4.punktā), vai tikai kriptoaktīvu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 "citiem noteikumiem" attiecībā uz automātisko informācijas apmaiņu ir domāti tie paši Ministru kabineta noteikumi, kuri tiks izdoti, pamatojoties uz likumprojekta 1.pantā (grozāmā likuma 15.panta divpadsmitajā daļā) paredzēto pilnvarojumu, vai arī kādi "citi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paskaidrojot, ka soda naudu plāntots piemērot ziņojošajiem kritpoaktīvu pakalpojumu sniedzējiem par Ministru kabineta noteikumu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32.</w:t>
            </w:r>
            <w:r w:rsidR="00000000" w:rsidRPr="00000000" w:rsidDel="00000000">
              <w:rPr>
                <w:vertAlign w:val="superscript"/>
                <w:rtl w:val="0"/>
              </w:rPr>
              <w:t xml:space="preserve">5</w:t>
            </w:r>
            <w:r w:rsidR="00000000" w:rsidRPr="00000000" w:rsidDel="00000000">
              <w:rPr>
                <w:rtl w:val="0"/>
              </w:rPr>
              <w:t xml:space="preserve">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administrācijai ir tiesības piemērot nodokļu maksātājam soda naudu līdz 14 000 </w:t>
            </w:r>
            <w:r w:rsidR="00000000" w:rsidRPr="00000000" w:rsidDel="00000000">
              <w:rPr>
                <w:i w:val="1"/>
                <w:rtl w:val="0"/>
              </w:rPr>
              <w:t xml:space="preserve">euro</w:t>
            </w:r>
            <w:r w:rsidR="00000000" w:rsidRPr="00000000" w:rsidDel="00000000">
              <w:rPr>
                <w:rtl w:val="0"/>
              </w:rPr>
              <w:t xml:space="preserve">, ja nodokļu maksātājs nav ievērojis ziņojuma sniegšanas termiņu, kas noteikts normatīvajos aktos, kuri regulē automātisko informācijas apmaiņu attiecībā uz ziņojošā kriptoaktīvu pakalpojuma sniedzēja rīcībā esošu informāciju par darījumiem ar kriptoaktīviem, vai, ja tas nav ievērojis attiecīgās pienācīgas pārbaudes procedūras vai citus noteikumus par automātisko informācijas apmaiņu attiecībā uz tā rīcībā esošo informāciju par darījumiem ar kriptoaktīviem."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66. pantu ar vārdiem "vai tur elektronisko naudu vai centrālās bankas digitālās valūtas klientu 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vienai centrālajai bankai diez vai būs vairākas digitālās valūtas, ierosinām lietot attiecīgos vārdus vienskaitlī (proti, "centrālās bankas digitāl</w:t>
            </w:r>
            <w:r w:rsidR="00000000" w:rsidRPr="00000000" w:rsidDel="00000000">
              <w:rPr>
                <w:b w:val="1"/>
                <w:rtl w:val="0"/>
              </w:rPr>
              <w:t xml:space="preserve">o </w:t>
            </w:r>
            <w:r w:rsidR="00000000" w:rsidRPr="00000000" w:rsidDel="00000000">
              <w:rPr>
                <w:rtl w:val="0"/>
              </w:rPr>
              <w:t xml:space="preserve">valūt</w:t>
            </w:r>
            <w:r w:rsidR="00000000" w:rsidRPr="00000000" w:rsidDel="00000000">
              <w:rPr>
                <w:b w:val="1"/>
                <w:rtl w:val="0"/>
              </w:rPr>
              <w:t xml:space="preserve">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66. pantu ar vārdiem "vai tur elektronisko naudu vai centrālās bankas digitālo valūtu klientu 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66. pantu ar vārdiem "vai tur elektronisko naudu vai centrālās bankas digitālās valūtas klientu 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līdz ar definīcijas “Ieguldījuma iestāde” paplašināšanu izveidosies atšķirība ar definīciju “Ieguldījuma iestāde”, kura tiek izmantota FATCA ietvaros. Banku izstrādātais pašapliecinājums tiek izmantots gan CRS gan FATCA prasību izpildes ietvaros. Ja tiktu izmantotas atšķirīgas definīcijas, tad bankām, kuras kā vienu no mehānismiem lai konstatētu vai klients ir finanšu iestāde, izmanot attiecīgu jautājumu klienta anketā, būtu no klienta jāsaņem nevis viena atbilde kā līdz šim, bet jānodala atbildes FATCA un CRS mērķiem un tas varētu sarežģīt FATCA/CRS atbilstības procesus. Papildus jāņem vērā, ka FATCA ietvaros visām ieguldījuma iestādēm var tikt pieprasīts norādīt GIIN numuru, kas nav būtiski CRS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konkrēto jautājumu izvērtējuši.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Finanšu ministrijas rīcībā nav informācijas par iespējamu FATCA līguma grozīšanu. Turklāt, ievērojot, ka ASV ir noslēgusi FATCA līgumu ar 27 Eiropas Savienības dalībvalstīm, šajā gadījumā jautājums būtu par līguma vienlaicīgu grozīšanu ar visām dalībvalstīm, taču šobrīd nav saņemta informācija par tādiem plāniem Eiropas Savienības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66. pantu ar vārdiem "vai tur elektronisko naudu vai centrālās bankas digitālo valūtu klientu labā".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67. pantu pēc vārda "vērtspapīros" ar vārdiem "kriptoaktīvos, par kuriem jāziņo".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šāda grozījuma sanāks, ka "finanšu aktīvs" cita starpā ir arī "</w:t>
            </w:r>
            <w:r w:rsidR="00000000" w:rsidRPr="00000000" w:rsidDel="00000000">
              <w:rPr>
                <w:u w:val="single"/>
                <w:rtl w:val="0"/>
              </w:rPr>
              <w:t xml:space="preserve">līdzdalība kriptoaktīvos</w:t>
            </w:r>
            <w:r w:rsidR="00000000" w:rsidRPr="00000000" w:rsidDel="00000000">
              <w:rPr>
                <w:rtl w:val="0"/>
              </w:rPr>
              <w:t xml:space="preserve">, par kuriem jāziņo". Ierosinām šo grozījumu precizēt atbilstoši termina "finanšu aktīvs" skaidrojumam OECD izdotajā Starptautiskajā standartā automātiskai informācijas apmaiņai nodokļu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normas labākai uztveramībai ierosinām sadalīt grozāmā likuma 67.pantā ietverto uzskaitījumu punktos, jo šobrīd ir samērā grūti uztvert, kas ietilpst terminā "finanšu aktīvs" šā likuma (nodaļas)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CRS standartā par izmaiņām termina “finanšu aktīvs” definīcijā norādīts, ka "(...) lai nodrošinātu konsekvenci starp atvasinātajiem instrumentiem, kas atsaucas uz kriptoaktīviem, un atvasinātajiem instrumentiem, kas atsaucas uz (citiem) finanšu aktīviem, no kuriem pēdējie jau ir ietverti CRS, atvasināto instrumentu līgumi, kas atsaucas uz kriptoaktīviem, ir iekļauti finanšu aktīvu definīcijā, tādējādi ļaujot finanšu iestādēm, kas sniedz ziņojumus, piemērot tādas pašas pienācīgas pārbaudes un ziņošanas procedūras atvasinātajiem instrumentiem, kas atsaucas uz dažādiem aktīvu veidiem" (</w:t>
            </w:r>
            <w:r w:rsidR="00000000" w:rsidRPr="00000000" w:rsidDel="00000000">
              <w:rPr>
                <w:i w:val="1"/>
                <w:rtl w:val="0"/>
              </w:rPr>
              <w:t xml:space="preserve">“In order to ensure consistency between derivatives referencing Crypto-Assets and derivatives referencing (other) Financial Assets, the latter of which are already covered under the CRS, derivative contracts referencing Crypto-Assets are included in the definition of Financial Assets, thereby allowing Reporting Financial Institutions to apply the same due diligence and reporting procedures to derivatives referencing different types of assets.”)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vārdu salikums “līdzdalība kriptoaktīvos, par kuriem jāziņo” attiecas uz gadījumu, kad kriptoaktīvs nav tiešā īpašumā, bet ir ar to saistīts atvasinātais līgums, kas jau tiek ietverts finanšu aktīvu definīcijā.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67. pantu pēc vārda "vērtspapīros" ar vārdiem "kriptoaktīvos, par kuriem jāziņo".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izpratnē naudas līdzekļi (turpmāk – nauda) ir banknotes un monētas, bezskaidra nauda un elektroniskā nauda. Šis termins ietver arī centrālās bankas digitālās valūtas.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2.teikumā aizstāt vārdus "centrālās bankas digitālās valūtas" ar vārdiem "centrālās bankas digitāl</w:t>
            </w:r>
            <w:r w:rsidR="00000000" w:rsidRPr="00000000" w:rsidDel="00000000">
              <w:rPr>
                <w:b w:val="1"/>
                <w:rtl w:val="0"/>
              </w:rPr>
              <w:t xml:space="preserve">o</w:t>
            </w:r>
            <w:r w:rsidR="00000000" w:rsidRPr="00000000" w:rsidDel="00000000">
              <w:rPr>
                <w:rtl w:val="0"/>
              </w:rPr>
              <w:t xml:space="preserve"> valūt</w:t>
            </w:r>
            <w:r w:rsidR="00000000" w:rsidRPr="00000000" w:rsidDel="00000000">
              <w:rPr>
                <w:b w:val="1"/>
                <w:rtl w:val="0"/>
              </w:rPr>
              <w:t xml:space="preserve">u</w:t>
            </w:r>
            <w:r w:rsidR="00000000" w:rsidRPr="00000000" w:rsidDel="00000000">
              <w:rPr>
                <w:rtl w:val="0"/>
              </w:rPr>
              <w:t xml:space="preserve">", jo vienai centrālajai bankai diez vai būs vairākas digitālās valūtas.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izpratnē naudas līdzekļi (turpmāk – nauda) ir banknotes un monētas, bezskaidra nauda un elektroniskā nauda. Šis termins ietver arī centrālās bankas digitālo valūtu.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kā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67.</w:t>
            </w:r>
            <w:r w:rsidR="00000000" w:rsidRPr="00000000" w:rsidDel="00000000">
              <w:rPr>
                <w:vertAlign w:val="superscript"/>
                <w:rtl w:val="0"/>
              </w:rPr>
              <w:t xml:space="preserve">2</w:t>
            </w:r>
            <w:r w:rsidR="00000000" w:rsidRPr="00000000" w:rsidDel="00000000">
              <w:rPr>
                <w:rtl w:val="0"/>
              </w:rPr>
              <w:t xml:space="preserve">panta pirmās daļas 5.punkts pēc savas būtības nav elektroniskās naudas definīcijas sastāvdaļa, bet gan prasība elektroniskās naudas emitentam (salīdzinājumam skat. Maksājumu pakalpojumu un elektroniskās naudas likuma 62.</w:t>
            </w:r>
            <w:r w:rsidR="00000000" w:rsidRPr="00000000" w:rsidDel="00000000">
              <w:rPr>
                <w:vertAlign w:val="superscript"/>
                <w:rtl w:val="0"/>
              </w:rPr>
              <w:t xml:space="preserve">1</w:t>
            </w:r>
            <w:r w:rsidR="00000000" w:rsidRPr="00000000" w:rsidDel="00000000">
              <w:rPr>
                <w:rtl w:val="0"/>
              </w:rPr>
              <w:t xml:space="preserve">panta pirmo daļu un Eiropas Parlamenta un Padomes 2009.gada 16.septembra direktīvas 2009/110/EK par elektroniskās naudas iestāžu darbības sākšanu, veikšanu un konsultatīvu uzraudzību, par grozījumiem direktīvā 2005/60/EK un direktīvā 2006/48/EK un par direktīvas 2000/46/EK atcelšanu 11.pantu). Iekļaujot šo prasību elektroniskās naudas definīcijā, var rasties neloģiskas situācijas. Piemēram, kāds emitē elektronisko naudu, bet nenodrošina tās dzēšanu 67.</w:t>
            </w:r>
            <w:r w:rsidR="00000000" w:rsidRPr="00000000" w:rsidDel="00000000">
              <w:rPr>
                <w:vertAlign w:val="superscript"/>
                <w:rtl w:val="0"/>
              </w:rPr>
              <w:t xml:space="preserve">2</w:t>
            </w:r>
            <w:r w:rsidR="00000000" w:rsidRPr="00000000" w:rsidDel="00000000">
              <w:rPr>
                <w:rtl w:val="0"/>
              </w:rPr>
              <w:t xml:space="preserve">panta pirmās daļas 5.punktā paredzētajā kārtībā, kas noved pie situācijas, ka attiecīgā monetārā vērtība netiek uzskatīta par elektronisko naudu šā likuma (nodaļas) izpratnē, jo neizpildās visi definīcijā ietvertie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67.</w:t>
            </w:r>
            <w:r w:rsidR="00000000" w:rsidRPr="00000000" w:rsidDel="00000000">
              <w:rPr>
                <w:vertAlign w:val="superscript"/>
                <w:rtl w:val="0"/>
              </w:rPr>
              <w:t xml:space="preserve">2</w:t>
            </w:r>
            <w:r w:rsidR="00000000" w:rsidRPr="00000000" w:rsidDel="00000000">
              <w:rPr>
                <w:rtl w:val="0"/>
              </w:rPr>
              <w:t xml:space="preserve">panta otrās daļas praktiskā izpilde ir neskaidra. Proti, nav saprotams, kas un kādā veidā varēs nodalīt otrās daļas otrajā teikumā minētos līdzekļus no "elektroniskās naudas" šā likuma (nodaļas) izpratnē, lai precīzi izpildītu šā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grozāmajā likumā tomēr pieturēties pie elektroniskās naudas definīcijas, kura jau ir dota Maksājumu pakalpojumu un elektroniskās naudas likumā un neveidot vēl vienu, turklāt atšķirīgu un neloģisku definīciju. Jaunas definīcijas vietā grozāmajā likumā ierosinām norādīt nosacījumus, iestājoties kuriem, rodas pienākums ziņot Valsts ieņēmumu dienestam (skat. kopsakarā ar Latvijas Bankas priekšlikumu pie likumprojekta 1.panta (grozāmā likuma 15.panta divpadsmitās daļas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skaidrojām sanāksmēs ar Latvijas Banku, kas notika vēl pirms likumprojekts tika nosūtīts institūcijām ārējai saskaņošanai, un norādījām anotācijā, ar šo likumprojektu tiek ne tikai pārņemtas direktīvas prasības, bet arī CRS standarta grozījumi, kurus Latvijai jāievieš, ievērojot noslēgto Daudzpusējo kompetento iestāžu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Eiropas Savienības dalībvalstis ir noslēgušas šo līgumu un (lai samazinātu slogu) direktīvas izstrādes procesā notika diskusijas par standarta teksta pielāgošanu citām Eiropas Savienības tiesību normām, pēc iespējas izvairoties no novirzēm no standarta. Viens no apspriestajiem jautājumiem bija termina “elektroniskā nauda” definīcija, taču rezultātā direktīvas redakcijas tika saglabātas tuvu CRS standartam,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“noteikts elektroniskās naudas produkts” nozīmē jebkuru produktu,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vienas fiat valūtas digitālais attēlojums;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izdots,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attiecībā pret kuru pastāv prasība pret emitentu, kas denominēta tajā pašā fiat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 kā maksājumu akceptējusi fiziska vai juridiska persona, kas nav emitents;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saskaņā ar regulatīvajām prasībām, kas emitentam ir jāievēro, var izpirkt jebkurā laikā un par nominālvērtību tai pašai fiat valūtai pēc produkta turētāja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(“The term “Specified Electronic Money Product” means any product that is:</w:t>
            </w:r>
            <w:r w:rsidR="00000000" w:rsidRPr="00000000" w:rsidDel="00000000">
              <w:rPr>
                <w:i w:val="1"/>
                <w:rtl w:val="0"/>
              </w:rPr>
              <w:t xml:space="preserve">a) a digital representation of a single Fiat Currency;</w:t>
            </w:r>
            <w:r w:rsidR="00000000" w:rsidRPr="00000000" w:rsidDel="00000000">
              <w:rPr>
                <w:i w:val="1"/>
                <w:rtl w:val="0"/>
              </w:rPr>
              <w:t xml:space="preserve">b)issued on receipt of funds for the purpose of making payment transactions;</w:t>
            </w:r>
            <w:r w:rsidR="00000000" w:rsidRPr="00000000" w:rsidDel="00000000">
              <w:rPr>
                <w:i w:val="1"/>
                <w:rtl w:val="0"/>
              </w:rPr>
              <w:t xml:space="preserve">c)represented by a claim on the issuer denominated in the same Fiat Currency;</w:t>
            </w:r>
            <w:r w:rsidR="00000000" w:rsidRPr="00000000" w:rsidDel="00000000">
              <w:rPr>
                <w:i w:val="1"/>
                <w:rtl w:val="0"/>
              </w:rPr>
              <w:t xml:space="preserve">d)accepted in payment by a natural or legal person other than the issuer; and</w:t>
            </w:r>
            <w:r w:rsidR="00000000" w:rsidRPr="00000000" w:rsidDel="00000000">
              <w:rPr>
                <w:i w:val="1"/>
                <w:rtl w:val="0"/>
              </w:rPr>
              <w:t xml:space="preserve">e)by virtue of regulatory requirements to which the issuer is subject, redeemable at any time and at par value for the same Fiat Currency upon request of the holder of the product.”)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un Finanšu ministrija jau šobrīd sniedz skaidrojumus par CRS standarta piemērošanu, ja tiek saņemti jautājumi. Turklāt Valsts ieņēmumu dienests veic ziņošanas prasību uzraudzību, kā ietvaros var arī konsultēt finanšu iestādes neskaidrību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maksājumu darījumu veikšanai, pretī saņemot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kā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elektroniskās naudas definīcija šajā likumprojektā tomēr tiek saglabāta, ierosinām precizēt 67.</w:t>
            </w:r>
            <w:r w:rsidR="00000000" w:rsidRPr="00000000" w:rsidDel="00000000">
              <w:rPr>
                <w:vertAlign w:val="superscript"/>
                <w:rtl w:val="0"/>
              </w:rPr>
              <w:t xml:space="preserve">2</w:t>
            </w:r>
            <w:r w:rsidR="00000000" w:rsidRPr="00000000" w:rsidDel="00000000">
              <w:rPr>
                <w:rtl w:val="0"/>
              </w:rPr>
              <w:t xml:space="preserve">panta pirmās daļas 4.punkta redakciju, saskaņojot terminoloģiju ar 2.punktā lietoto.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fiziska vai juridiska persona, kas nav emitents, to pieņem </w:t>
            </w:r>
            <w:r w:rsidR="00000000" w:rsidRPr="00000000" w:rsidDel="00000000">
              <w:rPr>
                <w:u w:val="single"/>
                <w:rtl w:val="0"/>
              </w:rPr>
              <w:t xml:space="preserve">maksājumu darījumu veikšanai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maksājumu darījumu veikšanai, pretī saņemot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saņemot līdzekļus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kā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67.</w:t>
            </w:r>
            <w:r w:rsidR="00000000" w:rsidRPr="00000000" w:rsidDel="00000000">
              <w:rPr>
                <w:vertAlign w:val="superscript"/>
                <w:rtl w:val="0"/>
              </w:rPr>
              <w:t xml:space="preserve">2</w:t>
            </w:r>
            <w:r w:rsidR="00000000" w:rsidRPr="00000000" w:rsidDel="00000000">
              <w:rPr>
                <w:rtl w:val="0"/>
              </w:rPr>
              <w:t xml:space="preserve">panta pirmās daļas 2.punkta redakcijas nav saprotams, kas šajā normā ir domāts ar "līdzekļiem". Proti, vai tie ir "naudas līdzekļi" (nauda) atbilstoši 67.</w:t>
            </w:r>
            <w:r w:rsidR="00000000" w:rsidRPr="00000000" w:rsidDel="00000000">
              <w:rPr>
                <w:vertAlign w:val="superscript"/>
                <w:rtl w:val="0"/>
              </w:rPr>
              <w:t xml:space="preserve">1</w:t>
            </w:r>
            <w:r w:rsidR="00000000" w:rsidRPr="00000000" w:rsidDel="00000000">
              <w:rPr>
                <w:rtl w:val="0"/>
              </w:rPr>
              <w:t xml:space="preserve">pantā paredzētajam skaidrojumam, vai kādi citi līdzekļi. Ja elektroniskās naudas definīcija šajā likumprojektā tomēr tiek saglabāta, tiesiskai skaidrībai ierosinām šo normu precizēt, lai tā ir viennozīmīgi interpretējama.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maksājumu darījumu veikšanai, pretī saņemot naudu;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2</w:t>
            </w:r>
            <w:r w:rsidR="00000000" w:rsidRPr="00000000" w:rsidDel="00000000">
              <w:rPr>
                <w:rtl w:val="0"/>
              </w:rPr>
              <w:t xml:space="preserve"> </w:t>
            </w:r>
            <w:r w:rsidR="00000000" w:rsidRPr="00000000" w:rsidDel="00000000">
              <w:rPr>
                <w:b w:val="1"/>
                <w:rtl w:val="0"/>
              </w:rPr>
              <w:t xml:space="preserve">pants.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nauda šīs nodaļas izpratnē ir  monetārā vērtība, kas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naudas digitāls atveidojums;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izsniegts maksājumu darījumu veikšanai, pretī saņemot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atspoguļo tādu prasījumu pret emitentu, kurš ir denominēts tajā pašā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fiziska vai juridiska persona, kas nav emitents, pieņem maksājumu darījumu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dzēšams par tādu pašu naudas nominālvērtību pēc monetārās vērtības turētāja pieprasījuma jebkurā laikā saskaņā ar emitentam izvirzītajām regulatīvām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"elektroniskā nauda" šīs nodaļas izpratnē neietver tādu monetāro vērtību, kas izveidota vienīgi ar mērķi atvieglot līdzekļu pārvešanu no klienta citai personai saskaņā ar klienta norādījumiem. Monetārā vērtība nav izveidota vienīgi ar mērķi atvieglot līdzekļu pārvešanu, ja pārvedumu veicošā juridiskā veidojuma parastajā darbībā ar šādu monetāro vērtību saistītie līdzekļi, lai atvieglotu pārveduma veikšanu, tiek turēti ilgāk nekā 60 dienas pēc norādījumu saņemšanas, vai, ja norādījumi netiek saņemti, ar šādu produktu saistītie līdzekļi tiek turēti ilgāk nekā 60 dienas pēc līdzekļu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4</w:t>
            </w:r>
            <w:r w:rsidR="00000000" w:rsidRPr="00000000" w:rsidDel="00000000">
              <w:rPr>
                <w:rtl w:val="0"/>
              </w:rPr>
              <w:t xml:space="preserve"> </w:t>
            </w:r>
            <w:r w:rsidR="00000000" w:rsidRPr="00000000" w:rsidDel="00000000">
              <w:rPr>
                <w:b w:val="1"/>
                <w:rtl w:val="0"/>
              </w:rPr>
              <w:t xml:space="preserve">pants. Kriptoaktīvs, par kuru jāziņo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Šīs nodaļas izpratnē kriptoaktīvs, par kuru jāziņo, ir jebkurš kriptoaktīvs, izņemot tādu, attiecībā uz kuru nodokļu maksātājs, kuram saskaņā ar normatīvajā aktā noteikto ir pienākums iesniegt Valsts ieņēmumu dienestam ziņojumu par darījumiem ar kriptoaktīviem, ir pienācīgi secinājis, ka to nevar izmantot maksājumu vai ieguldījumu mērķiem. Kriptoaktīvs, par kuru jāziņo, neietver elektronisko naudu un centrālās bankas digitālo valūtu."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rakstīt, ka "kriptoaktīvs [..] neietver elektronisko naudu", jo "elektroniska nauda" šā termina vispārzināmā nozīmē nav "kriptoaktīvs". "Kriptoaktīvs" ir elektroniskās naudas </w:t>
            </w:r>
            <w:r w:rsidR="00000000" w:rsidRPr="00000000" w:rsidDel="00000000">
              <w:rPr>
                <w:u w:val="single"/>
                <w:rtl w:val="0"/>
              </w:rPr>
              <w:t xml:space="preserve">žetons</w:t>
            </w:r>
            <w:r w:rsidR="00000000" w:rsidRPr="00000000" w:rsidDel="00000000">
              <w:rPr>
                <w:rtl w:val="0"/>
              </w:rPr>
              <w:t xml:space="preserve">, kas ir pielīdzināms elektroniskajai naudai (skat. Eiropas Parlamenta un Padomes 2023.gada 31.maija regulas (ES) 2023/1114 par kriptoaktīvu tirgiem un ar ko groza regulas (ES) Nr.1093/2010 un (ES) Nr.1095/2010 un direktīvas 2013/36/ES un (ES) 2019/1937 3.panta 7.punktu un 48.panta 2.punktu). Neprecīzas terminoloģijas lietošana var radīt neskaidrības likuma piemērošanā un atšķirīgas interpretācijas iespējas. Tādēļ ierosinām šo normu redakcionāli precizēt, lai tā nenonāk pretrunā ar citiem normatīvajiem aktiem (tai skaitā Eiropas Savienības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CRS ziņošanas mērķiem</w:t>
            </w:r>
            <w:r w:rsidR="00000000" w:rsidRPr="00000000" w:rsidDel="00000000">
              <w:rPr>
                <w:rtl w:val="0"/>
              </w:rPr>
              <w:t xml:space="preserve"> “elektroniskā nauda” ietver arī elektroniskās naudas žetonus, kas ir viens no kriptoaktīvu veidiem (kā tas arī ir arī norādīts Eiropas Parlamenta un Padomes 2023.gada 31.maija regulā (ES) 2023/1114 par kriptoaktīvu tirgiem un ar ko groza regulas (ES) Nr.1093/2010 un (ES) Nr.1095/2010 un direktīvas 2013/36/ES un (ES) 2019/1937). Anotācijā skaidrojums par elektroniskās naudas definīciju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DAC8 pārņemtās normas redakcija ir šāda: “</w:t>
            </w:r>
            <w:r w:rsidR="00000000" w:rsidRPr="00000000" w:rsidDel="00000000">
              <w:rPr>
                <w:i w:val="1"/>
                <w:rtl w:val="0"/>
              </w:rPr>
              <w:t xml:space="preserve">“Kriptoaktīvs, par kuru jāsniedz ziņojums” ir jebkurš Kriptoaktīvs, kas nav Centrālās bankas digitālā valūta, Elektroniskā nauda, vai jebkurš Kriptoaktīvs, attiecībā uz kuru Kriptoaktīvu pakalpojumu sniedzējs, kas sniedz ziņojumus, ir pienācīgi noteicis, ka to nevar izmantot maksājumu vai ieguldījumu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Bankas iebildumus par direktīvā ietvertās normas redakciju, sanāksmē bija panākta vienošanās par redakcijas precizēšanu, sadalot normu divos teikumos. Tādējādi saglabājot pārņemtās normas būtību (ievērojot gan direktīvas prasības, gan CRS prasības) un vienlaikus ievērojot, ka elektroniskās naudas žetoni ir tikai daļa no elektroniskās naudas definīcijas tvēruma.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67.</w:t>
            </w:r>
            <w:r w:rsidR="00000000" w:rsidRPr="00000000" w:rsidDel="00000000">
              <w:rPr>
                <w:sz w:val="20"/>
                <w:b w:val="1"/>
                <w:vertAlign w:val="superscript"/>
                <w:rtl w:val="0"/>
              </w:rPr>
              <w:t xml:space="preserve">4</w:t>
            </w:r>
            <w:r w:rsidR="00000000" w:rsidRPr="00000000" w:rsidDel="00000000">
              <w:rPr>
                <w:rtl w:val="0"/>
              </w:rPr>
              <w:t xml:space="preserve"> </w:t>
            </w:r>
            <w:r w:rsidR="00000000" w:rsidRPr="00000000" w:rsidDel="00000000">
              <w:rPr>
                <w:b w:val="1"/>
                <w:rtl w:val="0"/>
              </w:rPr>
              <w:t xml:space="preserve">pants. Kriptoaktīvs, par kuru jāziņo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Šīs nodaļas izpratnē kriptoaktīvs, par kuru jāziņo, ir jebkurš kriptoaktīvs, izņemot tādu, attiecībā uz kuru nodokļu maksātājs, kuram saskaņā ar normatīvajā aktā noteikto ir pienākums iesniegt Valsts ieņēmumu dienestam ziņojumu par darījumiem ar kriptoaktīviem, ir pienācīgi secinājis, ka to nevar izmantot maksājumu vai ieguldījumu mērķiem. Kriptoaktīvs, par kuru jāziņo, neietver elektronisko naudu un centrālās bankas digitālo valūtu."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68.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68.</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Maiņas 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izpratnē maiņas darījumi ir darījumi, kas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kriptoaktīva, par kuru jāziņo, maiņa pret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jebkura viena vai vairāku kriptoaktīvu, par kuriem jāziņo, veidu apmaiņa.”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2.punktu, lai tā jēga būtu vieglāk uztverama.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kriptoaktīva, par kuru jāziņo, apmaiņa pret citu kriptoaktīvu.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ar Latvijas Banku izrunāta šīs normas redakcija un likumprojektā ir saglabāta apspriestā versija. Ierosinātās izmaiņas paplašinātu direktīvā noteikto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68.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68.</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Maiņas 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izpratnē maiņas darījumi ir darījumi, kas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kriptoaktīva, par kuru jāziņo, maiņa pret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jebkura viena vai vairāku kriptoaktīvu, par kuriem jāziņo, veidu apmaiņa.”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90. panta pirmās daļas 1. punktā vārdus "finanšu iestāde, veicot parastu bankas (kredītiestādes) darbību vai līdzīgu saimniecisko darbību. Noguldījuma konts ietver arī summu, kuru apdrošināšanas sabiedrība saskaņā ar garantētu ieguldījumu līgumu vai līdzīgu līgumu tur, lai iemaksātu vai ieskaitītu par šo summu pienākošos procentus" ar vārdiem "noguldījumu iestāde. Noguldījuma konts ietver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summu, kuru apdrošināšanas sabiedrība saskaņā ar garantētu ieguldījumu līgumu vai līdzīgu līgumu tur, lai iemaksātu vai ieskaitītu par šo summu pienākošos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kontu, kas atspoguļo visu klienta labā turēto elektronisko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kontu, kurā klienta labā tiek turēta viena vai vairākas centrālās bankas digitālās valūtas."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pēc vārda "kontu" ("kontu, kas atspoguļo visu klienta labā turēto elektronisko naudu") nav jāpapildina ar vārdiem "vai nosacīto kontu", ievērojot direktīvā Nr. 2023/2226 ietvertās grozītās direktīvas C punkta 2. apakšpunkta "b" punktā minēto. Alternatīvi lūdzam likumprojekta anotācijā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Sanāksmēs ar Latvijas Banku tika izrunāts, ka nav skaidrs termins “nosacītais konts”, tāpēc tas nav normā ietverts, bet anotācijā ir paskaidrots, ka termins “konts” ietver arī terminu “nosacītais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90. panta pirmās daļas 1. punktā vārdus "finanšu iestāde, veicot parastu bankas (kredītiestādes) darbību vai līdzīgu saimniecisko darbību. Noguldījuma konts ietver arī summu, kuru apdrošināšanas sabiedrība saskaņā ar garantētu ieguldījumu līgumu vai līdzīgu līgumu tur, lai iemaksātu vai ieskaitītu par šo summu pienākošos procentus" ar vārdiem "noguldījumu iestāde. Noguldījuma konts ietver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summu, kuru apdrošināšanas sabiedrība saskaņā ar garantētu ieguldījumu līgumu vai līdzīgu līgumu tur, lai iemaksātu vai ieskaitītu par šo summu pienākošos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kontu, kas atspoguļo visu klienta labā turēto elektronisko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kontu, kurā klienta labā tiek turēta viena vai vairākas centrālās bankas digitālās valūtas."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konts, kas ir atvērts uzņēmuma dibināšanai vai kapitāla palielināšanai, un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konts tiek izmantots tikai tāda kapitāla noguldīšanai, ko paredzēts izmantot uzņēmuma dibināšanai vai tā kapitāla palielināšanai, kā noteikts Komerclikumā;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visi kontā turētie līdzekļi tiek iesaldēti līdz brīdim, kad finanšu iestāde, kas sniedz ziņojumus, saņem neatkarīgu apstiprinājumu par uzņēmuma nodibināšanu vai 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konts pēc uzņēmuma nodibināšanas vai kapitāla palielināšanas tiek slēgts vai pārveidots par uzņēmuma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visi atmaksājamie līdzekļi, kas izriet no neveiksmīgas uzņēmuma  dibināšanas vai kapitāla palielināšanas, atskaitot pakalpojumu sniedzēja un tamlīdzīgas maksas, tiek veikti tikai tām personām, kuras bija līdzekļus iemaksājušas;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konts tika izveidots ne agrāk kā pirms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ar likumprojekta 13. pantā lietoto terminu "konts" domāts aptvert tikai Komerclikuma 147. pantā lietoto terminu "maksājumu konts", kurā dibinātāji uz kapitālsabiedrības vārda var veikt naudas līdzekļu iemaksu, vai ar šo terminu plānots aptvert arī Komerclikuma 153. panta septītajā daļā minēto kontu, kas atvērts pie kriptoaktīvu pakalpojumu sniedzēja un kurā tiek organizēta kriptoaktīvu pārvēšana (t.sk. vai šī norma attiektos arī uz sadalītās virsgrāmatas adresēm).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skaidrojot, ka regulējums ietver arī Komerclikuma 153. panta septītajā daļā minēto kontu.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konts, kas ir atvērts komercsabiedrības dibināšanai vai kapitāla palielināšanai, un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konts tiek izmantots tikai tāda kapitāla noguldīšanai, ko paredzēts izmantot komercsabiedrības dibināšanai vai tās kapitāla palielināšanai, kā noteikts Komerclikumā;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visi kontā turētie līdzekļi tiek iesaldēti līdz brīdim, kad finanšu iestāde, kas sniedz ziņojumus, saņem neatkarīgu apstiprinājumu par komercsabiedrības nodibināšanu vai 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konts pēc komercsabiedrības nodibināšanas vai kapitāla palielināšanas tiek slēgts vai pārveidots par komercsabiedrības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visi atmaksājamie līdzekļi, kas izriet no neveiksmīgas komercsabiedrības dibināšanas vai kapitāla palielināšanas, atskaitot pakalpojumu sniedzēja un tamlīdzīgas maksas, tiek veikti tikai tām personām, kuras bija līdzekļus iemaksājušas;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konts tika izveidots ne agrāk kā pirms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3. apakšpunktā vārdus "adrese, attiecīgās iesaistītās valsts nosaukums, nodokļu maksātāja identifikācijas numurs (ja tāds tiek piešķirts)" ar vārdiem "personas, par kuru jāsniedz ziņojums, statuss, ja persona atbilst juridiskā veidojuma patiesajam labuma guvējam, adrese, attiecīgās iesaistītās valsts nosaukums, nodokļu maksātāja identifikācijas numurs (ja tāds tiek piešķirts), kā arī norāde, vai par katru personu, par kuru jāsniedz ziņojums, ir iesniegts klienta paša sniegts apliecinājums par nodokļu rezidenci, uz kuru var paļauties;";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fiziska persona nevar atbilst patiesajam labuma guvējam, bet gan var būt patiesais labuma guvējs. Lai nodrošinātu pareizas terminoloģijas izmantošanu, lūdzam precizēt likumprojektu sadaļā par juridiskā veidojuma patieso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3. apakšpunktā vārdus "adrese, attiecīgās iesaistītās valsts nosaukums, nodokļu maksātāja identifikācijas numurs (ja tāds tiek piešķirts)" ar vārdiem "personas, par kuru jāsniedz ziņojums, statuss, ja persona ir juridiskā veidojuma patiesais labuma guvējs, adrese, attiecīgās iesaistītās valsts nosaukums, nodokļu maksātāja identifikācijas numurs (ja tāds tiek piešķirts), kā arī norāde, vai par katru personu, par kuru jāsniedz ziņojums, ir iesniegts paša sniegts apliecinājums par nodokļu rezidenci, uz kuru var paļauties;";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3. apakšpunktā vārdus "adrese, attiecīgās iesaistītās valsts nosaukums, nodokļu maksātāja identifikācijas numurs (ja tāds tiek piešķirts)" ar vārdiem "personas, par kuru jāsniedz ziņojums, statuss, ja persona atbilst juridiskā veidojuma patiesajam labuma guvējam, adrese, attiecīgās iesaistītās valsts nosaukums, nodokļu maksātāja identifikācijas numurs (ja tāds tiek piešķirts), kā arī norāde, vai par katru personu, par kuru jāsniedz ziņojums, ir iesniegts klienta paša sniegts apliecinājums par nodokļu rezidenci, uz kuru var paļauties;";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MK 2016. gada 5. janvāra noteikumu Nr. 20 "Kārtība, kādā finanšu iestāde izpilda finanšu kontu pienācīgas pārbaudes procedūras un sniedz Valsts ieņēmumu dienestam informāciju par finanšu kontiem" 51.3.p. noteikto, finanšu iestāde ir tiesīga paļauties uz konta turētāja vai patiesā labuma guvēja apliecinājumu par patiesā labuma guvēja nodokļu rezidenci, lūdzam precizēt vai 100.panta pirmās daļas 3.apakšppunktā minētais "klienta pašpliecinājums" nozīmē tikai konta turētāja t.i. juridiska veidojuma sniegto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3. apakšpunktā vārdus "adrese, attiecīgās iesaistītās valsts nosaukums, nodokļu maksātāja identifikācijas numurs (ja tāds tiek piešķirts)" ar vārdiem "personas, par kuru jāsniedz ziņojums, statuss, ja persona ir juridiskā veidojuma patiesais labuma guvējs, adrese, attiecīgās iesaistītās valsts nosaukums, nodokļu maksātāja identifikācijas numurs (ja tāds tiek piešķirts), kā arī norāde, vai par katru personu, par kuru jāsniedz ziņojums, ir iesniegts paša sniegts apliecinājums par nodokļu rezidenci, uz kuru var paļauties;";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norāde, vai ziņošanai pakļautais konts ir kopīgs konts, attiecīgi norādot arī konta turētāju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vēršam uzmanību, ka var būt gadījumi kad konta turētājs tiek uzskatīts par vairāk nekā vienas valsts nodokļu rezidentu (piemēram, atbilstoši konstatētajām apstākļu izmaiņām). Attiecīgi, ņemot vērā, ka saskaņā ar MK 2016. gada 5. janvāra noteikumu Nr. 20 "Kārtība, kādā finanšu iestāde izpilda finanšu kontu pienācīgas pārbaudes procedūras un sniedz Valsts ieņēmumu dienestam informāciju par finanšu kontiem" pielikumu, valstīm atšķiras kontu kategorijas noteikšanas datums, var izveidoties situācijas kad viens konts attiecībā uz vienu iesaistīto valsti tiks ziņots kā jauns konts, bet attiecībā uz otru kā iepriekšpastavējis konts.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zināšanai aprakstīto situāciju par atšķirīgajiem kontu kategoriju noteikšanas datumiem un to ietekmi uz konta statusu.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norāde, vai ziņošanai pakļautais konts ir kopīgs konts, attiecīgi norādot arī konta turētāju skaitu;";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personas, par kuru jāsniedz ziņojums, statuss, ja persona atbilst juridiskā veidojuma patiesajam labuma guvējam un ir līdzdalības daļas kapitālā turētājs tādā ieguldījumu iestādē, kas ir izveidota uz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fiziska persona nevar atbilst patiesajam labuma guvējam, bet gan var būt patiesais labuma guvējs. Lai nodrošinātu pareizas terminoloģijas izmantošanu, lūdzam precizēt likumprojektu sadaļā par juridiskā veidojuma patieso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statuss, pamatojoties uz kuru persona, par kuru jāsniedz ziņojums, ir līdzdalības daļu kapitālā turētājs, ja šīs līdzdalības daļas tiek turētas ieguldījumu iestādē, kas ir izveidota uz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iekļauto aprakstu par likumprojekta 13. pantu, terminu "uzņēmums" aizstājot ar terminu "kapitālsabiedrība", un terminu "kapitāla palielināšana" aizstājot ar terminu "pamatkapitāla palielināšana".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anotācijā attiecībā uz termina "uzņēmums" aizstāšanu ar terminu "komercsabiedrība".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2023. gada 17. oktobra Direktīvas (ES) 2023/2226, ar ko groza Direktīvu 2011/16/ES par administratīvu sadarbību nodokļu jomā (turpmāk - DAC8) 1. panta 16. punktā ietvertā grozītās direktīvas 27.c panta 1. punkta pārņemšanu, tostarp pārņemšanas termiņu, kas šobrīd sniegta pretrunīgi (informācija atspoguļota divās rindās) un pirmšķietami neatbilstoši DAC8 2. panta 1. punktā minētajam (proti, vienīgi 27.c panta 2., 3. un 4. punktā ietvertās prasības jāpārņem līdz attiecīgi 2027. un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DAC8 1. panta 17. punkta (I pielikuma VII iedaļa) pārņemšanu, ņemot vērā, ka VII iedaļa daļēji ar likumprojektu tiek pārņemta (iespējams, anotācijas 5.4. apakšsadaļas 1. tabulā domāts VII iedaļas Aa.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priekšlikuma autoru telefoniski izrunāts risinājums un atbilstoši veikti precizējumi anotācijas 5.sadaļas 1.tabulā.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informācija tabulā par DAC8 1. panta 16. punkta (DAC 27.c panta 1.punkta) pārņemšanu. DAC 27.c. panta 1.punkts ir deklaratīvs un tā pārņemšana ir saistīta ar šī panta 2., 3. un 4. punkta ieviešanu, jo šajos punktos ir ietverti pasākumi, ar kuriem tiek īstenota arī 1.punkta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informācija tabulā attiecībā uz DAC8 1. panta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24-TA-3148</w:t>
    </w:r>
    <w:r>
      <w:br/>
    </w:r>
    <w:r w:rsidR="00000000" w:rsidRPr="00000000" w:rsidDel="00000000">
      <w:rPr>
        <w:rtl w:val="0"/>
      </w:rPr>
      <w:t xml:space="preserve">10.05.2025. 15.46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24-TA-3148</w:t>
    </w:r>
    <w:r>
      <w:br/>
    </w:r>
    <w:r w:rsidR="00000000" w:rsidRPr="00000000" w:rsidDel="00000000">
      <w:rPr>
        <w:rtl w:val="0"/>
      </w:rPr>
      <w:t xml:space="preserve">10.05.2025. 15.46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Izziņa_24-TA-3148.docx</dc:title>
</cp:coreProperties>
</file>

<file path=docProps/custom.xml><?xml version="1.0" encoding="utf-8"?>
<Properties xmlns="http://schemas.openxmlformats.org/officeDocument/2006/custom-properties" xmlns:vt="http://schemas.openxmlformats.org/officeDocument/2006/docPropsVTypes"/>
</file>