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22-TA-438: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3. komponentes “Nevienlīdzības mazināšana”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pirmās kārtas “Valsts un pašvaldību ēku vides pieejamības nodrošināšanas pasākumi” (turpmāk – pasākums)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apakšpunktu, kas nosaka investīcijas īstenošanā un uzraudzībā iesaistītās institūcijas un to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1.5.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3. komponentes “Nevienlīdzības mazināšana”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pirmās kārtas “Valsts un pašvaldību ēku vides pieejamības nodrošināšanas pasākumi” (turpmāk – pasākums) īstenošanas un uzraudzības kārtību,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i w:val="1"/>
                <w:rtl w:val="0"/>
              </w:rPr>
              <w:t xml:space="preserve">de minimis</w:t>
            </w:r>
            <w:r w:rsidR="00000000" w:rsidRPr="00000000" w:rsidDel="00000000">
              <w:rPr>
                <w:rtl w:val="0"/>
              </w:rPr>
              <w:t xml:space="preserve"> atbalsta piešķiršanas mehānismu un uzskaites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 apakšpunktu, ņemot vērā, ka </w:t>
            </w:r>
            <w:r w:rsidR="00000000" w:rsidRPr="00000000" w:rsidDel="00000000">
              <w:rPr>
                <w:i w:val="1"/>
                <w:rtl w:val="0"/>
              </w:rPr>
              <w:t xml:space="preserve">de minimis</w:t>
            </w:r>
            <w:r w:rsidR="00000000" w:rsidRPr="00000000" w:rsidDel="00000000">
              <w:rPr>
                <w:rtl w:val="0"/>
              </w:rPr>
              <w:t xml:space="preserve"> atbalsta piešķiršanas mehānisms un uzskaites kārtība saturiski atbilst projekta īstenošanas nosacījumiem un uzraudzības kārtībai, kas minēta noteikumu projekta 1.6. apakšpunktā. Ievērojot minēto, saskaņā ar Ministru kabineta 2009. gada 3. februāra noteikumu Nr. 108 "Normatīvo aktu projektu sagatavošanas noteikumi" (turpmāk - noteikumi Nr. 108) 3.3. apakspunktu lūdzam 1.8. apakšpunktā nedublēt 1.6. apakšpunkta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iesniegums – projekta iesnieguma veidlapa (turpmāk – projekta veidlapa) un tās pielikumi, ko šajos noteikumos noteiktajā kārtībā iesniedz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minētais projekta iesniedzējs, lai pieteiktos projekta īstenošanai nepieciešamā atbalsta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 apakšpunktā norādīt, ka projekta iesnieguma veidlapa ir aizpildīta, jo pretējā gadījumā izriet, ka iesniegt var arī veidlapu, t.i., noteikta parauga lapu ar daļēji iespiestu tekstu, kas jāpapildina ar konkrētam ziņām (sk. vārda veidlapa skaidrojumu: </w:t>
            </w:r>
            <w:r w:rsidR="00000000" w:rsidRPr="00000000" w:rsidDel="00000000">
              <w:rPr>
                <w:i w:val="1"/>
                <w:rtl w:val="0"/>
              </w:rPr>
              <w:t xml:space="preserve">https://tezaurs.lv/veidlapa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veidlapa – aizpildīta projekta iesnieguma veidlapa un tās pielikumi, ko šajos noteikumos noteiktajā kārtībā iesniedz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projekta iesniedzējs, lai pieteiktos projekta īstenošanai nepieciešamā atbalsta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projekts – pasākuma ietvaros īstenotais projekts, kas atbilst šo noteikumu nosacījumiem un ko apstiprinājusi Centrālā finanšu un līgumu aģentūrā (turpmāk –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2.2. apakšpunktu, ņemot vērā, ka konkrētais termina "projekts" skaidrojums ir neskaidrs un dublējošs, jo ir riņķveida (tai skaitā paredz apstiprināt īstenošanā esošu projektu, nevis projekta iesniegumu), turklāt ir pretrunā ar noteikumu projekta 2.3. apakšpunktā ietverto termina "finansējuma saņēmējs"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projekts – projekta veidlapa, kas atbilst šo noteikumu nosacījumiem un kura atbilstību šiem nosacījumiem ir pārbaudījusi Centrālā finanšu un līgumu aģentūra (turpmāk –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projekts – projekta veidlapa, kas atbilst šo noteikumu nosacījumiem un kuru atbilstību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minētajam uzaicinājumam ir pārbaudījusi Centrālā finanšu un līgumu aģentūra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2.2. apakšpunktā ietverto skaidrojumu ar noteikumu projekta 20.3.1. un 20.3.3. apakšpunktu saistībā ar attiecīgās pārbaudes priekšmetu. Kā arī lūdzam redakcionāli precizēt minētās noteikumu projekta vienības, jo projekta veidlapa netiek pārbaudīta iepretim uzaicinājuma informācijai, bet gan noteiktām noteikumu projekta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projekts – projekta veidlapa, kas atbilst šo noteikumu nosacījumiem un kura atbilstību šiem nosacījumiem ir pārbaudījusi Centrālā finanšu un līgumu aģentūra (turpmāk –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vides pieejamība – piekļūstamība Eiropas Parlamenta un Padomes 2019. gada 17. aprīļa Direktīvas (ES) </w:t>
            </w:r>
            <w:r w:rsidR="00000000" w:rsidRPr="00000000" w:rsidDel="00000000">
              <w:rPr>
                <w:rtl w:val="0"/>
              </w:rPr>
              <w:t xml:space="preserve">2019/882</w:t>
            </w:r>
            <w:r w:rsidR="00000000" w:rsidRPr="00000000" w:rsidDel="00000000">
              <w:rPr>
                <w:rtl w:val="0"/>
              </w:rPr>
              <w:t xml:space="preserve"> par produktu un pakalpojumu piekļūstamības prasībām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Ievērojot minēto, lūdzam noteikumu projekta 2.4. apakšpunktā neatsaukties uz Eiropas Parlamenta un Padomes 2019. gada 17. aprīļa Direktīvu (ES) 2019/882 par produktu un pakalpojumu piekļūstamības prasībām, bet tā vietā, ja tas nepieciešams, izdarīt atbilstošu atsauci uz normatīvajiem aktiem noteiktā jomā, ievērojot noteikumu Nr. 108 136. punkta ierobežojumu, ka noteikumu projektā neietver atsau­ces uz zemāka juridiskā spēka normatīvo aktu vai normatīvo aktu, kas vēl nav stājies spēkā. Atsauce var norādīt uz normatīvo aktu, kas vēl nav stājies spēkā, ja tas stāsies spēkā pirms noteikumu projekta stāšanās spēkā vai vienlaikus 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ietverta atsauce uz Direktīvu (ES) Nr. 2019/882, lai konkretizētu, ka apzīmējums “vides pieejamība” neatšķiras no Eiropas Savienības dokumentos lietotā apzīmējuma “piekļūstamība”, nevis, lai pārņemtu minētajā direktīvā noteiktās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Direktīva (ES) Nr. 2019/882 tiek ieviesta ar Preču un pakalpojumu piekļūstamības likumu, taču minētais likums vēl nav stājies spēkā, tāpēc notiekumu projektā nevar ietvert atsauci augstāka juridiskā spēka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vides pieejamība – piekļūstamība videi atbilstoši Eiropas Parlamenta un Padomes 2019. gada 17. aprīļa Direktīvas (ES) Nr. </w:t>
            </w:r>
            <w:r w:rsidR="00000000" w:rsidRPr="00000000" w:rsidDel="00000000">
              <w:rPr>
                <w:rtl w:val="0"/>
              </w:rPr>
              <w:t xml:space="preserve">2019/882</w:t>
            </w:r>
            <w:r w:rsidR="00000000" w:rsidRPr="00000000" w:rsidDel="00000000">
              <w:rPr>
                <w:rtl w:val="0"/>
              </w:rPr>
              <w:t xml:space="preserve"> par produktu un pakalpojumu piekļūstamības prasībām un standarta LVS EN 17210:2021 L “Apbūvētas vides pieejamība un izmantojamība. Funkcionālās prasības”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2.4. apakšpunktā svītrot atsauci uz Eiropas Parlamenta un Padomes 2019. gada 17. aprīļa Direktīvu (ES) Nr. 2019/882 par produktu un pakalpojumu piekļūstamības prasībām. Apzināmies, ka ar noteikumu projektu minētās prasības netiek pārņemtas, kā arī atbilstoši juridiskās tehnikas prasībām nebūtu pamatoti atsaukties uz normatīvajiem aktiem produktu un pakalpojumu piekļūstamības prasību jomā, ja attiecīgie normatīvie akti noteikumu projekta spēkā stāšanās brīdī nebūs spēkā stājušies. Tomēr vēršam uzmanību, ka atsauce uz direktīvu nenovērš minēto problemātiku, ņemot vērā, ka direktīvas nav tieši piemērojami normatīvie akti. Ierosinām tā vietā noteikumu projektā norādīt konkrētas piekļūstamības prasības (principus), tai skaitā līdzīgi kā jau šobrīd ir izvirzīta konkrēta prasība par atbilstību standartam LVS EN 17210:2021 L “Apbūvētas vides pieejamība un izmantojamība", noteikumu projekta anotācijā tās detalizēti skaidrojot. Norādām, ka detalizētākus nosacījumus pieļaujams ietvert arī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infomrējam, ka infomrācija par vides pieejamību ietverta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ēka – šo noteikumu izpratnē nekustamā īpašuma objekts (būve vai tās daļa) vai nekustamā īpašuma objektu kopība (zemes vienība un būve vai tās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108 121. punktam noteikumu projektā terminus skaidro, lai konkretizētu terminā izteiktā jēdziena izpratnes robežas, ja termins nav skaidrots vai lietots augstāka juridiskā spēka normatīvajā aktā. Attiecīgi lūdzam svītrot noteikumu projekta 2.5. apakšpunktu, ņemot vērā, ka termins "ēka" cita starpā lietots Būvniecības likumā u.c. Tāpat līdzīgi lūdzam svītrot noteikumu projekta 2.4. apakšpunktu, ņemot vērā, ka termins "piekļūstamība" tiks lietots normatīvajos aktos (šobrīd saskaņošanas stadijā; 21-TA-1599), ar kuriem tiks pārņemtas Eiropas Parlamenta un Padomes 2019. gada 17. aprīļa Direktīvas (ES) 2019/882 par produktu un pakalpojumu piekļūstamības prasībām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termins “ēka” tiek lietots specifiski šā noteikumu projekta kontekstā un tas atšķiras no normatīvajā regulējumā lietotās terminoloģijas, jo ietver visu nekusto īpašumu (ēku un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notiekumu projektā lietots termins “ēka”, nevis “nekustamais īpašums”, lai nodrošinātu atbilstību MK 28.04.2021. rīkojumā Nr. 292 “Par Latvijas Atveseļošanas un noturības mehānisma plānu” lietotajam apzīmējumam un pasākuma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ēka – šo noteikumu izpratnē nekustamā īpašuma objekts (būve vai tās daļa) vai nekustamā īpašuma objektu kopība (zemes vienība un būve vai tās daļa).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palielināt sabiedrībai paredzētu labklājības nozares publisko pakalpojumu un publisko ēku, kurās tiek sniegti labklājības nozares valsts pakalpojumi vai pašvaldību sociālie pakalpojumi, skaitu, lai nodrošinātu vides, nodarbinātības un informācijas pieejamību visām sabiedrības grupām, tostarp personām ar invaliditāti un funkcionāliem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pārformulēt noteikumu projekta 3.punktu, lai būtu viennozīmīgi saprotams, ka investīcijas mērķis ir nevis palielināt ēku skaitu, kurā tiek sniegti pakalpojumi, bet atbilstoši Atveseļošanas un noturības mehānisma (turpmāk – AF) plānā norādītājam – palielināt ēku skaitu, kurās ir nodrošināta vides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ar investīcijas sasaisti un ietekmi uz 3.1.2.r. reformas “Sociālo un nodarbinātības pakalpojumu pieejamība minimālo ienākumu reformas atbalstam” vispārējo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apakšpunkts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noteikumu projekts papildināts ar jaunu 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palielināt sabiedrībai paredzēto labklājības nozares publisko pakalpojumu un publisko ēku, kurās tiek sniegti labklājības nozares valsts pakalpojumi vai pašvaldību sociālie pakalpojumi un kurās ir nodrošināta vides, nodarbinātības un informācijas pieejamība visām sabiedrības grupām, tostarp personām ar invaliditāti un funkcionālajiem traucējumiem,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palielināt sabiedrībai paredzēto labklājības nozares publisko pakalpojumu un publisko ēku, kurās tiek sniegti labklājības nozares valsts pakalpojumi vai pašvaldību sociālie pakalpojumi un kurās ir nodrošināta vides, nodarbinātības un informācijas pieejamība visām sabiedrības grupām, tostarp personām ar invaliditāti un funkcionālajiem traucējumiem,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investīcijas mērķi formulēt maksimāli tuvu tai redakcijai, kāda iekļauta jau apstiprinātajā ANM plānā (skat. zemāk), lai izvairītos no iespējamiem Eiropas Komisijas komentāriem vēlākā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palielināt to sabiedrībai paredzēto labklājības nozares publisko pakalpojumu un publisko ēku skaitu, kurās ir nodrošināta vides pieejamība visām sabiedrības grupām, tostarp personām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 punkta redakcija nav pretrunā ar ANM plānā definēto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pasākuma mērķa redakcija tika precizēta, lai iespējami precīzi un nepārprotami nodefinētu pasākuma satvaru, kā ietvaros paredzēts nodrošināt vides pieejamību ēkām, kurās sniedz labklājības nozares valsts pakalpojumu vai pašvaldību sociālo pakalpojumu, nevis labklājības nozares publisko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01.08.2022. iesniegti priekšlikumi ANM plāna grozījumiem, kas ietver precizēto pasākuma mērķa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palielināt sabiedrībai paredzēto labklājības nozares publisko pakalpojumu un publisko ēku, kurās tiek sniegti labklājības nozares valsts pakalpojumi vai pašvaldību sociālie pakalpojumi un kurās ir nodrošināta vides, nodarbinātības un informācijas pieejamība visām sabiedrības grupām, tostarp personām ar invaliditāti un funkcionālajiem traucējumiem,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sasniedzami šādi atskaites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papildināt ar mērķi un tā kvantitatīvo rādītāju, atbilstoši Operational arangements 114. punktā noteiktajam, kā arī attiecīgi papildināt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7.3. apakšunkts papildināts ar kvantitatīvo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sasniedzami šādi atskaites 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2022. gada 31. martam – to valsts un pašvaldību ēku izvēle, kurās jāveic vides pielāgojumi;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6.1. apakšpunktā minēto atskaites punktu, ņemot vērā, ka šobrīd ir notecējis termiņš attiecīgā atskaites punkta izpildei. Alternatīvi lūdzam noteikumu projekta anotācijā sniegt atbilstošu skaidrojumu par minēto, tai skaitā skaidrojot minētā atskaites punkta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 par atskaites punkta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līdz 2022. gada 31. martam – to valsts un pašvaldību ēku izvēle, kurās jāveic vides pielāgojumi;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līdz 2022. gada 31. decembrim – līgumu slēgšanas tiesību piešķiršana, lai nodrošinātu piekļuvi publiskām telpām valsts un pašvaldību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savstarpēji sasaistīt noteikumu projekta 6. punkta tālākajos apakšpunktos ietvertos atskaites punktus, lai nodrošinātu, ka ir nepārprotami skaidrs, vai minētā punkta ietvaros ar attiecīgām valsts un pašvaldību ēkām saprotamas vienas un tās pašas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noteikumu projekta 6.2. un 6.3. apakšpunktā un noteikumu projekta anotācijā, kas saprotams ar piekļuves nodrošināšanu publiskām telpām, t.i., vai ar to saprotama piekļūstamības prasību (t.i., vides pieejamības prasības atbilstoši noteikumu projektā lietotajai terminoloģijai) nodrošināšana.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7. punkta (iepriekš 6. punkts) redakcija noteikta atbilstoši Atveseļošanas fonda Darbības kārtībā noteiktajam atskaites punktu formulējam un atbilstoši Finanšu ministrijas lūgumam atskaites punktus un to pamatojošo dokumentāciju jādefinē atbilstoši Darbības kārtībā lietotajai terminoloģijai. Papildus skaidrojam, ka 7. punkta apakšpunkti attieicnāmi vienām un tām pašām valsts un pašvaldību ēkām, kuras noteiktas noteikumu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7.2. un 7.3. apakšpunktā (iepriekš 6.2. un 6.3. apakšpunkts attiecīgi) lietotais formulējums “piekļuves nodrošināšana publiskām telpām” ir savstarpēji saistīts un atbilstošs ar citviet noteikumu projektā lietoto formulējumu “vides pieejamības nodrošināšana”. Papildus skaidrojam, ka formulējums “piekļuves nodrošināšana publiskām telpām” ir tieši pārņemts no Atveseļošanas fonda Darbības kārtības un atbilstoši Finanšu ministrijas lūgumam atskaites punktus un to pamatojošo dokumentāciju jādefinē atbilstoši Darbības kārtībā lietotajai terminoloģijai. Vēršam uzmanību, ka noteikumu projekta anotācija attiecīgi papildināta ar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2022. gada 31. decembrim – līgumu slēgšanas tiesību piešķiršana, lai nodrošinātu piekļuvi publiskām telpām valsts un pašvaldību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atskaites punktu sasniegšanu apliecina šajos noteikumos noteiktais dokumentu kopums, kas iesniegts Kohēzijas politikas fondu vadības informācijas sistēmā (turpmāk – vadības informācijas sistēma), ievērojot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8.3.1. apakšunkts papildināts ar kvantitatīvo rādītāju.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atskaites punktu sasniegšanu apliecina dokumentu kopums, kas iesniegts Kohēzijas politikas fondu vadības informācijas sistēmā (turpmāk – vadības informācijas sistēma),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ministrijas vadlīnijas vienlīdzības, iekļaušanas, nediskriminācijas un pamattiesību ievērošanai, kurās apkopota informācija par to, kādi minimālie vides pieejamības standarti ēkās ir jānodrošina;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7.1.2. apakšpunktā noteikto atskaites punkta sasniegšanu apliecina ministrijas izstrādātās vadlīnijas. Saistībā ar minēto lūdzam sniegt pamatotu skaidrojumu, kāpēc iestādes izstrādātas vadlīnijas, kas pēc savas būtības ir rekomendējošs dokuments, tiek uzskatīts par dokumentu, kas apliecina  to valsts un pašvaldību ēku izvēli, kurās jāveic vides pielāgojumi. Nepieciešamības gadījumā lūdzam noteikumu projekts 7.1.2. apakšpunktu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plāna Darbības kārtībā noteikta dokumentācija, kas nepieciešama 112. atskaites punkta (t.i., noteikumu projekta 8.1. apakšpunktā (iepriekš 7.1. apakšpunkts) noteiktā atskaites punkta) pamatošanai: “</w:t>
            </w:r>
            <w:r w:rsidR="00000000" w:rsidRPr="00000000" w:rsidDel="00000000">
              <w:rPr>
                <w:i w:val="1"/>
                <w:rtl w:val="0"/>
              </w:rPr>
              <w:t xml:space="preserve">b) informāciju par to, kādi minimālie piekļūstamības standarti ēkās ir jānodrošina, kopā ar apliecinājumu par atskaites punkta attiecīgo elementu sasniegšanu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LM ir izstrādājusi vadlīnijas, kurās apkopota informācija par normatīvajā regulējumā noteiktām minimālām vides pieejamības prasībām, kas jānodrošina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ministrijas vadlīnijas vienlīdzības, iekļaušanas, nediskriminācijas un pamattiesību ievērošanai, kurās apkopota informācija par to, kādi minimālie vides pieejamības standarti ēkās ir jānodrošina;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ministrijas vadlīnijas vienlīdzības, iekļaušanas, nediskriminācijas un pamattiesību ievērošanai, kurās apkopota informācija par to, kādi minimālie vides pieejamības standarti ēkās ir jānodrošina;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7.1.2.apakšpunktu un anotāciju ar informāciju (saiti), kur atrodamas ministrijas izstrādātās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ministrijas vadlīnijas vienlīdzības, iekļaušanas, nediskriminācijas un pamattiesību ievērošanai, kurās apkopota informācija par to, kādi minimālie vides pieejamības standarti ēkās ir jānodrošina;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ministrijas vadlīnijas vienlīdzības, iekļaušanas, nediskriminācijas un pamattiesību ievērošanai, kurās apkopota informācija par to, kādi minimālie vides pieejamības standarti ēkās ir jānodrošina;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par nodrošināmajiem minimālajiem vides piekļūstamības standartiem atbilstoši apstiprinātajai AF Darbības kārtībai: “nodrošināt piekļuvi telpām un informācijai personām ar funkcionāliem traucējumiem (redzes, dzirdes, mobilitātes un garīgiem traucējumiem), t. sk. vizuālās informācijas uzlabošanu, evakuācijas sistēmu pielāgošanu un nodrošināšanu personām ar invaliditāti, kā arī tādu palīglīdzekļu uzstādīšanu kā rampas, pandusi, lifti, viegli atveramas vai automātiskas durvis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30.1. apakšunkts redakcionāli precizēts, nosakot, ka ministrijas tīmekļvietnē publicētajās vadlīnijās “Vienlīdzība, iekļaušana, nediskriminācija un pamattiesību ievērošana” apkopota informācija par minimāliem vides pieejamības prasībām, kas jānodrošina ēkās.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Atveseļošanas fonda Darbības kārtībā norādītā inofmrācija: “</w:t>
            </w:r>
            <w:r w:rsidR="00000000" w:rsidRPr="00000000" w:rsidDel="00000000">
              <w:rPr>
                <w:i w:val="1"/>
                <w:rtl w:val="0"/>
              </w:rPr>
              <w:t xml:space="preserve">nodrošināt piekļuvi telpām un informācijai personām ar funkcionāliem traucējumiem (redzes, dzirdes, mobilitātes un garīgiem traucējumiem), t. sk. vizuālās informācijas uzlabošanu, evakuācijas sistēmu pielāgošanu un nodrošināšanu personām ar invaliditāti, kā arī tādu palīglīdzekļu uzstādīšanu kā rampas, pandusi, lifti, viegli atveramas vai automātiskas durvis utt.</w:t>
            </w:r>
            <w:r w:rsidR="00000000" w:rsidRPr="00000000" w:rsidDel="00000000">
              <w:rPr>
                <w:rtl w:val="0"/>
              </w:rPr>
              <w:t xml:space="preserve">” ietverta noteikumu projekta anotācijā, jo minimālās vides pieejamības prasības, kas noteiktas ministrijas vadlīnijās aptver visus uzskaitītos vides pieejamības apsketus.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ministrijas vadlīnijas vienlīdzības, iekļaušanas, nediskriminācijas un pamattiesību ievērošanai, kurās apkopota informācija par to, kādi minimālie vides pieejamības standarti ēkās ir jānodrošina;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kas apliecina atbilstību Eiropas Savienības Padomes 2021. gada 6. jūlija Īstenošanas lēmumā (ES) Nr. </w:t>
            </w:r>
            <w:r w:rsidR="00000000" w:rsidRPr="00000000" w:rsidDel="00000000">
              <w:rPr>
                <w:rtl w:val="0"/>
              </w:rPr>
              <w:t xml:space="preserve">2021/1064</w:t>
            </w:r>
            <w:r w:rsidR="00000000" w:rsidRPr="00000000" w:rsidDel="00000000">
              <w:rPr>
                <w:rtl w:val="0"/>
              </w:rPr>
              <w:t xml:space="preserve"> par Latvijas Atveseļošanas fonda plāna novērtējuma apstiprināšanu sniegtajam atskaites punkta un investīciju aprakstam, un informācija par noslēgto būvdarbu līgumu vides pieejamības nodrošināšanai publiskām telpām valsts un pašvaldību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Atbilstoši Eiropas Savienības Padomes 2021. gada 6. jūlija Īstenošanas lēmuma (ES) Nr. 2021/1064 par Latvijas Atveseļošanas fonda plāna novērtējuma apstiprināšanu 6. pantam tas ir adresēts Latvijai. Tādējādi, lai minētā lēmuma normas padarītu saistošas privātpersonām, tās jāpārņem nacionālajā normatīvajā aktā (noteikumu projektā), kādēļ lūdzam izvērtēt un atbilstoši precizēt noteikumu projekta 7.2.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8.2. apakšpunktā (iepriekš 7.2. apakšpunkts) ietvertā atsauces uz lēmumu (ES) Nr. 2021/1064 lietošanas mērķis nav padarīt to saistošu privātpersonām, bet noteikt atskaites punktu pamatojošo dokumentācija atbilstoši Atveseļošanas fonda Darbības kārtībā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formulējums atskaišu punktu un to pamatojošas dokumentācijas ir tieši pārņemts no Atveseļošanas fonda Darbības kārtības un atbilstoši Finanšu ministrijas lūgumam atskaites punktus un to pamatojošo dokumentāciju jādefinē atbilstoši Darbības kārtībā lietotajai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un informācija par noslēgto būvdarbu līgumu vides pieejamības nodrošināšanai publiskām telpām valsts un pašvaldību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2022. gada 31. decembrim – līgumu slēgšanas tiesību piešķiršana, lai nodrošinātu piekļuvi publiskām telpām valsts un pašvaldību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iet uz apstiprināšanu tikai tagad, nevis kā sākotnēji bija plānots martā/aprīlī, lūdzam pārcelt atskaites punkta termiņus noteikumu 7.2.punktā, paredzot iespēju pagarināt termiņu (prasību par noslēgtu būvdarbu līgumu uz 31.12.2022.) vismaz par 3 mēnešiem, lai būtu iespējas kvalitatīvi izstrādāt būvprojektus un sagatavot būvdarbu iepirkuma dokumentāciju. Saskaņā ar MK noteikumu Nr.500 "Vispārīgie būvnoteikumi" 43.punktu 3.grupas būvju būvnoteikumiem ir obligāta būvekspertīze, kas vēl paildzinās projektēšanas nosacījumu izpildes termiņu. Tā kā arhitekti un būveksperti ir noslogoti, šādos termiņos iekļauties ir ja ne neiespējami, tad ļoti sarežģīti.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nevar veikt atskaites punktu grozījumus bez EK saskaņojuma.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01.08.2022. LM iesniedza FM ANM plāna grozījumu priekšlikumu par nepieciešamību pagarināt atskaites punkta sasniegšanas termiņu no 31.12.2022. līdz 31.12.2023.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par pasākuma īstenošanu atskaites punktu termiņa pagarināšanai tiks virzīti pēc ANM plāna grozījumu apstiprināšanas. Indikatīvi, ANM plāna grozījumi tiks pieņemti š.g. beigās, jo pirms ANM plāna grozījumu apstiprināšanas EK veiks Eiropas Parlamenta un Padomes Regulas (ES) 2021/241 (2021. gada 12. februāris), ar ko izveido Atveseļošanas un noturības mehānismu,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lai nekavētu būvniecības līgumu noslēgsanu, 04.01.2022. vēstulē Nr. 40-1-04/6 "Par projektu uzsākšanu Atveseļošanas un noturības mehānisma plāna ietvaros" ministrija informēja projekta iesniedzējus par izmaksu attiecināmību no š.g. sākuma, kā arī aicināja sniegt infomrāciju par iespēju uzsākt projekta īstenošanai nepeiciešamās dokumentācijas sagatavošanu pirms noteikumu spēkā stāšanās.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2022. gada 31. decembrim – līgumu slēgšanas tiesību piešķiršana, lai nodrošinātu piekļuvi publiskām telpām valsts un pašvaldību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 finansējuma saņēmēja veikts ēkā sniegtā labklājības nozares valsts pakalpojuma vai pašvaldības sociālā pakalpojuma vides pieejamības pašnovērtējums, kuram vides pieejamības koeficients atbilstoši ministrijas izstrādātajai vides pieejamības pašnovērtējuma anketai nav zemāks par astoņi.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 noteikumu projektu), vai noteikumu projekta 7.3.3.apakšpunktā ietvertā prasība par vērtējumu “nav zemāks par astoņi” atbilst Atveseļošanas un noturības mehānisma (turpmāk – AF) plānā ietvertajam solījumam, ka investīcijas ietvaros tiks panākta “vides pieejamības pašnovērtējuma rezultātu uzlabošana pret 2020.gadā veikto pašnovērtējumu, nodrošinot, ka valsts un pašvaldību iestādes un to sniegtie pakalpojumi 100% ir pieejami personām ar invaliditāti un personām ar funkcionēšanas ierobežojumiem”, kā arī to, ka atbilstoši pašnovērtējuma skalai – maksimālais iespējamais novērtējums ir 10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ministrijas izstrādāto vadlīniju “Vienlīdzība, iekļaušana, nediskriminācija un pamattiesību ievērošana” 7.7. nodaļā “7.7. Specifiskas darbības, kas veicina nediskrimināciju un pamattiesību ievērošanu ERAF/KF projektos” noteiktajam ir ietverta pašnovērtējuma sasaiste ar Būvju vispārīgo prasību būvnormatīvu LBN 200-21 un Standartu LVS EN 17210:2021 L, kas definē vides piekļūstamības prasības, kas jānodrošina ēkās un pakalpojuma sniegšanas vietās. Lai nodrošinātu būvnormatīva un standarta piemērošanā noteikto vides piekļūstamības prasību ieviešanas pārbaudi, ministrija izstrādāja pašnovērtējuma anketu (https://www.lm.gov.lv/lv/vides-pieejamibas-pasnovertejums-2020), kurā tiek vērtēti vairāki vides piekļūstamības kritēriji un kurā vides pieejamības līmenis 8 punktu apmērā atbilst būvnormatīvā un standartā noteiktajām minimālajām prasībām (9. un 10. punktu pieškirti par papildus vides pieejamības pielāgojumu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finansējuma saņēmēja veikts pašnovērtējums par ēkā nodrošināto vides pieejamības pielāgojumu atbilstību normatīvajiem aktiem par būvju vispārīgo prasību noteiktajam (turpmāk – pašnovērtējums).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ēku, kuras atbilst atbalsta saņemšanas nosacījumiem vides pieejamības nodrošināšanai, saraksts, kas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10.09.2021. Labklājības ministriju informēja, ka tobrīd finansējuma saņēmēju sarakstā iekļautā institūcija “Alūksnes novada Sociālo lietu pārvalde” vairs nedarbojas adresē “Lielā Ezera iela 11, Alūksne, Alūksnes novads” un lūdza veikt precizējumus, norādot institūcijas faktisko adresi “Uzvaras iela 1, Alūksne, Alūksnes novads”, jo arī šajā adresē ir nepieciešami vides pieejamības uzlabojumi, taču, iepazīstoties ar izstrādāto tiesību aktu, Alūksnes novada Sociālo lietu pārvalde no saraksta ir izņemta laukā. Lūdzam 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saņemšanai kvalificējas ēkas, kurām 2020. gadā tika veikts vides pieejamības pašnovērtējums. Papildu tam 28.04.2021. MK noteikumu Nr. 292 “Par Latvijas Atveseļošanas un noturības mehānisma plānu” 1044. rindkopā ir noteikts, ka ANM investīciju rezultātā ir jānodrošina vides pieejamības pašnovērtējuma rezultātu uzlabošana pret 2020. gadā veikto pašnovērtējumu, t.i., valsts un pašvaldību iestādes un to sniegtie pakalpojumi 100 % ir pieejami personām ar invaliditāti un personām ar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rīcībā nav vides pieejamības pašnovērtējuma anketu par ēku, kas atrodas Ezera ielā 11, Alūksne, Alūksnes novads, tādējādi šī ēka nav iekļaujama noteikumu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ēku, kuras atbilst atbalsta saņemšanas nosacījumiem vides pieejamības nodrošināšanai, saraksts, kas noteikts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kas apliecina atbilstību Eiropas Savienības Padomes 2021. gada 6. jūlija Īstenošanas lēmumā (ES) Nr. </w:t>
            </w:r>
            <w:r w:rsidR="00000000" w:rsidRPr="00000000" w:rsidDel="00000000">
              <w:rPr>
                <w:rtl w:val="0"/>
              </w:rPr>
              <w:t xml:space="preserve">2021/1064</w:t>
            </w:r>
            <w:r w:rsidR="00000000" w:rsidRPr="00000000" w:rsidDel="00000000">
              <w:rPr>
                <w:rtl w:val="0"/>
              </w:rPr>
              <w:t xml:space="preserve"> par Latvijas Atveseļošanas fonda plāna novērtējuma apstiprināšanu sniegtajam atskaites punkta un investīciju aprakstam, un informācija par noslēgto būvdarbu līgumu vides pieejamības nodrošināšanai publiskām telpām valsts un pašvaldību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8.2. apakšpunktā norādi uz Eiropas Savienības lēmumā sniegto atskaites punktu un investīcijas aprakstu aizstāt ar attiecīgo atskaites punkta un investīcijas aprakstu, kas pārņemts noteikumu projektā. Izziņas 15. punktā skaidrots, ka noteikumu projekta 8.2. apakšpunktā ietvertā atsauces uz Padomes 2021. gada 6. jūlija Īstenošanas lēmumā (ES) Nr. 2021/1064 par Latvijas Atveseļošanas fonda plāna novērtējuma apstiprināšanu lietošanas mērķis nav padarīt to saistošu privātpersonām, bet noteikt atskaites punktu pamatojošo dokumentācija atbilstoši Atveseļošanas fonda Darbības kārtībā noteiktajam. Tomēr norādām, ka no minētās atsauces pēc būtības izriet prasība finansējuma saņēmējam (kas var būt arī privātpersona) būvdarbu iepirkumā ievērot minētajā Īstenošanas lēmumā (kurš adresēts dalībvalstīm) noteikto kā priekšnoteikumu atbalsta saņemšanai. Attiecīgi secināms, lai šādu prasību attiecinātu uz finansējuma saņēmēju, tā ir jāpārņem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8.2. apakšunktā svītrota atsauce uz Padomes 2021. gada 6. jūlija Īstenošanas lēmumā (ES) Nr. 2021/1064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infomrejam, ka atsauce uz Padomes 2021. gada 6. jūlija Īstenošanas lēmumu (ES) Nr. 2021/1064 ietverta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un informācija par noslēgto būvdarbu līgumu vides pieejamības nodrošināšanai publiskām telpām valsts un pašvaldību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finansējuma saņēmēja veikts ēkā sniegtā labklājības nozares valsts pakalpojuma vai pašvaldības sociālā pakalpojuma vides pieejamības pašnovērtējums, kuram vides pieejamības koeficients atbilstoši ministrijas izstrādātajai vides pieejamības pašnovērtējuma anketai nav zemāks par astoņi.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anketa nav juridiski saistoša, kādēļ lūdzam noteikumu projektā neatsaukties uz anketu, bet nepieciešamības gadījumā paredzēt to, ka anketa tiek izstrādāta un publicēta. Ja nepieciešams, lūdzam pārņemt attiecīgo anketas saturu (t.i., izteikt to konkrētās prasībās)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8.3.3. apakšunkts redakcionāli precizēts atbilstoši LM un TM 24.08.2022. sanāksmē panāktajai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Attiecigi precizējumi veikti citos noteikumu projekta punktos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 finansējuma saņēmēja veikts pašnovērtējums par ēkā nodrošināto vides pieejamības pielāgojumu atbilstību normatīvajiem aktiem par būvju vispārīgo prasību noteiktajam (turpmāk – pašnovērtējums).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nav nepieciešams uzkrāt informāciju par dalībniekiem un Eiropas Komisijas noteiktajiem Atveseļošanas fonda plāna kopējiem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punktu izteikt atbilstoši juridiskās tehnikas prasībām, norādot uz to, ka pasākuma ietvaros </w:t>
            </w:r>
            <w:r w:rsidR="00000000" w:rsidRPr="00000000" w:rsidDel="00000000">
              <w:rPr>
                <w:u w:val="single"/>
                <w:rtl w:val="0"/>
              </w:rPr>
              <w:t xml:space="preserve">neuzkrā</w:t>
            </w:r>
            <w:r w:rsidR="00000000" w:rsidRPr="00000000" w:rsidDel="00000000">
              <w:rPr>
                <w:rtl w:val="0"/>
              </w:rPr>
              <w:t xml:space="preserve">j (nevis nav nepieciešams uzkrāt) noteiktu informāciju, tiesiskās noteiktības nolūkā paredzot arī tiesību subjektu, uz kuru attiecīgais pienākums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finansējuma saņēmējs neuzkrāj informāciju par dalībniekiem un Komisijas 2021. gada 28. septembra Deleģētā regulā (ES) </w:t>
            </w:r>
            <w:r w:rsidR="00000000" w:rsidRPr="00000000" w:rsidDel="00000000">
              <w:rPr>
                <w:rtl w:val="0"/>
              </w:rPr>
              <w:t xml:space="preserve">2021/2106</w:t>
            </w:r>
            <w:r w:rsidR="00000000" w:rsidRPr="00000000" w:rsidDel="00000000">
              <w:rPr>
                <w:rtl w:val="0"/>
              </w:rPr>
              <w:t xml:space="preserve">, ar kuru, nosakot atveseļošanas un noturības rezultātu pārskata kopējos rādītājus un detalizētos elementus, papildina Eiropas Parlamenta un Padomes Regulu (ES) </w:t>
            </w:r>
            <w:r w:rsidR="00000000" w:rsidRPr="00000000" w:rsidDel="00000000">
              <w:rPr>
                <w:rtl w:val="0"/>
              </w:rPr>
              <w:t xml:space="preserve">2021/241</w:t>
            </w:r>
            <w:r w:rsidR="00000000" w:rsidRPr="00000000" w:rsidDel="00000000">
              <w:rPr>
                <w:rtl w:val="0"/>
              </w:rPr>
              <w:t xml:space="preserve">, ar ko izveido Atveseļošanas un noturības mehānismu noteiktajiem Atveseļošanas fonda plāna kopējiem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ir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noteiktās ēkas īpašnieks vai tiesiskais valdītājs, kas var būt: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11.punkta izriet, ka projekta iesniedzējs ir ēkas īpašnieks vai tiesiskais valdītājs, kas var būt arī publiskas personas kapitālsabiedrība. Vēršam uzmanību, ka, piemēram, valsts ēkas ir valsts īpašums, kas tiek reģistrēts konkrētu institūciju valdījumā (piemēram, ēka ir reģistrēta valsts īpašumā Finanšu ministrijas personā un tā ir nodota VAS "Valsts nekustamie īpašumi" pārvaldīšanā), līdz ar to VAS "Valsts nekustamie īpašumi" nav tiesiskais valdītājs, bet gan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11.punkta redakciju, nosakot, ka projekta iesniedzējs var būt ēkas īpašnieks (tiesiskais valdītājs) vai pārvaldītājs (11.2., 11.3., 11.4.apakšpunktā minētie subjekti).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punkts (iepriekš 11. punkts)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Nekustamā īpašuma valsts kadastra likumā termins “īpašnieks” un termins “tiesiskais valdītājs” tiek lietoti atsevišķi. Ievērojot minēto notiekumu projektā apzīmējums “īpašnieks” tiek lietots atsevišķi no apzīmējuma “tiesiskais valdītājs”.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ir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noteiktās ēkas īpašnieks, tiesiskais valdītājs vai pārvaldītājs, kas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kopējais attiecināmais finansējums ir 7 326 340 </w:t>
            </w:r>
            <w:r w:rsidR="00000000" w:rsidRPr="00000000" w:rsidDel="00000000">
              <w:rPr>
                <w:i w:val="1"/>
                <w:rtl w:val="0"/>
              </w:rPr>
              <w:t xml:space="preserve">euro</w:t>
            </w:r>
            <w:r w:rsidR="00000000" w:rsidRPr="00000000" w:rsidDel="00000000">
              <w:rPr>
                <w:rtl w:val="0"/>
              </w:rPr>
              <w:t xml:space="preserve">, tai skaitā attiecināmais Atveseļošanas fonda finansējums ir 7 000 000 </w:t>
            </w:r>
            <w:r w:rsidR="00000000" w:rsidRPr="00000000" w:rsidDel="00000000">
              <w:rPr>
                <w:i w:val="1"/>
                <w:rtl w:val="0"/>
              </w:rPr>
              <w:t xml:space="preserve">euro</w:t>
            </w:r>
            <w:r w:rsidR="00000000" w:rsidRPr="00000000" w:rsidDel="00000000">
              <w:rPr>
                <w:rtl w:val="0"/>
              </w:rPr>
              <w:t xml:space="preserve"> un valsts budžeta finansējums (pievienotās vērtības nodoklis) – indikatīvi 326 340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11.punktu, pie attiecināmā finansējuma norādot tikai Atveseļošanās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11. punkta redakcija formulēta pēc analoģijas ar citu Atveseļošanas fonda investīciju MK noteikumu redakciju (piemēram, MK 14.07.2022. noteikumu 442 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pasākuma ietvaros noteikts, ka valsts budžeta ietvaros attiecināmas PVN izmaksas, jo VAS “Valsts nekustamie īpašumi” un VSAI “Šampētera nams” pasakuma ietvaros veic valsts funkciju un nevar atgūt PVN, līdz ar to PVN izmaksas nepieciešams finansēt no valsts budžeta. Attiecīgs nosacījums ietverts noteikumu projekta 18.2.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kopējais attiecināmais finansējums ir 7 326 340 </w:t>
            </w:r>
            <w:r w:rsidR="00000000" w:rsidRPr="00000000" w:rsidDel="00000000">
              <w:rPr>
                <w:i w:val="1"/>
                <w:rtl w:val="0"/>
              </w:rPr>
              <w:t xml:space="preserve">euro</w:t>
            </w:r>
            <w:r w:rsidR="00000000" w:rsidRPr="00000000" w:rsidDel="00000000">
              <w:rPr>
                <w:rtl w:val="0"/>
              </w:rPr>
              <w:t xml:space="preserve">, tai skaitā attiecināmais Atveseļošanas fonda finansējums ir 7 000 000 </w:t>
            </w:r>
            <w:r w:rsidR="00000000" w:rsidRPr="00000000" w:rsidDel="00000000">
              <w:rPr>
                <w:i w:val="1"/>
                <w:rtl w:val="0"/>
              </w:rPr>
              <w:t xml:space="preserve">euro</w:t>
            </w:r>
            <w:r w:rsidR="00000000" w:rsidRPr="00000000" w:rsidDel="00000000">
              <w:rPr>
                <w:rtl w:val="0"/>
              </w:rPr>
              <w:t xml:space="preserve"> un valsts budžeta finansējums (pievienotās vērtības nodoklis) – indikatīvi 326 340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vides pieejamības ekspertu konsultācija;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atbilstoši papildināt noteikumu projektu), kas Latvijā var nodrošināt vides pieejamības ekspertu konsultācijas un lūdzam izvērtēt iespēju noteikt noteikumu projekta 14.punktā izmaksu ierobežojumu ekspertu konsultāciju pakalpojuma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14.5. apakšpunkts (iepriekš 12.5. apakšpunkts) redkacionāli precizēts, svītrojot vārdu “ekspertu”, jo normatīvajā regulējumā nav reglamentētas prasības vides pieejamības ekspertam.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infomrējam, ka noteikumu projekts ir papildināts 25.5. apakšpunktu, kas ietver nosacījumu, ka vides pieejamības konsultāciju sniegšanai var piesaistīt tādu fizisku vai juridisku personu, kas būvniecības projektos vai būvniecības vietās sniegusi vismaz 20 individuālās konsultācijas par vides un informācijas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ministrijas skaitījumā nav nepieciešamības noteikts ierobežojumu vides pieejamības konsultācijai, jo nav prognozējams, ka minētās darbības izmaksas būs nesamērīgi augstas, kas varētu ietekmēt rezultāta sasniegšanu, kā arī ministrijai nav pieejami dati par iespējamo darbības izmaksu apmēru (EUR) vai īpatsvaru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vides pieejamības konsultācija;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minētās atbalstāmas darbības ietvaros projekta vadības personāla atlīdzības izmaksas, kas radušās uz darba līguma vai rīkojuma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13.1.apakšpunktu ar informāciju atbilstoši AF plāna 2.pielikumā minētajam, ka projektu ietvaros visi cilvēkresursu līgumi ir terminēti un pieņemti konkursa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Notiekumu projekta 25.1. apakšpunkts (iepriekš 24.1. apakšpunkts)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atbilstoši normatīvajiem aktiem darba tiesību jomā uz vakanto darbinieka amata vietu nav obligāti jārīko konkurss.  Atveseļošanas fonda attiecināmā finansējuma ietvaros tiks apmaksāts tikai investīcijas projekta īstenošanas personāls (darbinieki), kas tiks piesaistīts uz terminētu laiku (uz projekta īstenošanas laiku) un kuru amata pienākumi būs saistīti tikai ar pasākuma īstenošanu un nedublēs pamatdarbībā nodarbināto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atbalstāmas darbības ietvaros projekta vadības personāla atlīdzības izmaksas, kas radušās uz darba līguma vai rīkojuma pamata;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ietvaros nav attiecināmās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neplānot neattiecināmās izmaksas, jo tās ir izmaksas, kas nav saskaņā ar reformas vai investīcijas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PVN, vēršam uzmanību, ka PVN nav attiecināms no Atveseļošanas fonda finansējuma, bet šādas izmaksas ir iekļaujamas Atveseļošanas fonda projekta ietvaros, līdz ar to nevar uzskatīt PVN par projekta neattiecināmajām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Notiekumu projekta 17. punkts (iepriekš 15. punkts) redakcionāli precizets, nosakot, kādas izmaksas nesedz Atveseļošanas fonda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Atveseļošanas fonda finansējums nesedz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pievienotās vērtības nodokļa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teikuma daļu  “,bet šādas izmaksas ir iekļaujamas Atveseļošanas fonda projekta ietvaros.” Paskaidrojam, ka lai pašvaldības varētu saņemt aizņēmumus PVN segšanai, PVN izmaksām ir jābūt iekļautām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pievienotās vērtības nodokļa izmaksas, bet šādas izmaksas ir iekļaujamas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ja finansējuma saņēmējs atbilstoši normatīviem aktiem par pievienotās vērtības nodokli var atgūt projekta ietvaros samaksāto nodokli – izmaksas sedz no finansējuma saņēmēja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PVN var atgūt tikai tad, ja tiek veikta saimnieciskā darbība, kas atbilstoši MKN iekļautajiem nosacījumiem praktiski nav iespējama pilnā apmērā. Nepieciešamības gadījumā, ņemot vērā iepriekš minēto, precizēt MKN.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ministrijai nav iespējas pārliecināties par pašvaldību un to ēku kapitālsabiedrību nodokļu režīmu, tāpēc noteikumu projekta saglabāta šāda redakcija. Savukārt VAS “Valsts nekustamie īpašumi” un VSIA “Šampētera nams” veic valsts funkciju izpildi (nav saimnieciskā darbība), pārvaldot ēkas, un attiecīgi minētā pasākuma ietvaros nevar atgūt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finansējuma saņēmējs atbilstoši normatīvajiem aktiem par pievienotās vērtības nodokli var atgūt projekta ietvaros samaksāto nodokli – izmaksas sedz no finansējuma saņēmēja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ja finansējuma saņēmējs – pašvaldība atbilstoši normatīviem aktiem par pievienotās vērtības nodokli nevar atgūt projekta ietvaros samaksāto nodokli, tā saskaņā ar normatīvajiem aktiem par pašvaldību aizņēmumiem un galvojumiem var aizņemties Valsts kasē nepieciešamo finansējumu pievienotās vērtības nodokļa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jo pašvaldību aizņemšanās iespējas ES fondu līdzfinansēto projektu īstenošanai nosaka valsts budžeta likums kārtējam gadam. Vēlamies paskaidrot, ka, ja pievienotās vērtības nodokļa izmaksas ir iekļautas Atveseļošanas fonda projekta ietvaros,  pašvaldības, nepieciešamības gadījumā  šīm izmaksām varēs saņemt aizņēmumus atbilstoši gadskārtējā valsts budžeta likumā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noteikuma projekta skaidrībai un uztveramībai ietverts skaidrojums par PVN izmaksu finansēšanu. Papildus skaidrojam, ka minētais noteikts arī “Informatīvais ziņojums “Par Kohēzijas politikas Eiropas Savienības fondu investīciju aktualitātēm līdz 2022. gada 1. februārim (pusgada ziņojums)”” 9.2.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ja finansējuma saņēmējs – pašvaldība atbilstoši normatīviem aktiem par pievienotās vērtības nodokli nevar atgūt projekta ietvaros samaksāto nodokli, tā saskaņā ar normatīvajiem aktiem par pašvaldību aizņēmumiem un galvojumiem, kā arī gadskārtējo valsts budžetu var aizņemties Valsts kasē nepieciešamo finansējumu pievienotās vērtības nodokļa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punktu svītrot, jo pašvaldību aizņemšanās iespējas ES fondu līdzfinansēto projektu īstenošanai nosaka valsts budžeta likums kārtējam gadam. Vēlamies paskaidrot, ka, ja pievienotās vērtības nodokļa izmaksas ir iekļautas Atveseļošanas fonda projekta ietvaros,  pašvaldības, nepieciešamības gadījumā  šīm izmaksām varēs saņemt aizņēmumus atbilstoši gadskārtējā valsts budžeta likumā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informatīvos nolūkos informācija ietverta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VAS “Valsts nekustamie īpašumi” un VSIA “Šampētera nams” projekta īstenošanai nepieciešamās pievienotas vērtības nodokļa izmaksas sedz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nav skaidri nosakāms vai viss PVN nebūs atgūstams, lūdzu minēto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 VAS “Valsts nekustamie īpašumi” un VSIA “Šampētera nams” atbilstoši normatīviem aktiem par pievienotās vērtības nodokli nevar atgūt projekta ietvaros samaksāto nodokli, projekta īstenošanai nepieciešamās pievienotas vērtības nodokļa izmaksas sedz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ja finansējuma saņēmējs – VAS “Valsts nekustamie īpašumi” un VSIA “Šampētera nams” atbilstoši normatīvajiem aktiem par pievienotās vērtības nodokli nevar atgūt projekta ietvaros samaksāto nodokli, projekta īstenošanai nepieciešamās pievienotās vērtības nodokļa izmaksas sedz no valsts budžeta.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īstenošanas nosacījumi un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par to, vai investīcijas I kārtas ietvaros ir vācami dati par dalībniekiem, ņemot vērā, ka AF investīciju kopējo rādītāju tabulā, par kuru ir panākta vienošanās ar Eiropas Komisiju, ir atzīmēts, kas 3.1.2.1.i investīcijas ietvaros </w:t>
            </w:r>
            <w:r w:rsidR="00000000" w:rsidRPr="00000000" w:rsidDel="00000000">
              <w:rPr>
                <w:u w:val="single"/>
                <w:rtl w:val="0"/>
              </w:rPr>
              <w:t xml:space="preserve">ir</w:t>
            </w:r>
            <w:r w:rsidR="00000000" w:rsidRPr="00000000" w:rsidDel="00000000">
              <w:rPr>
                <w:rtl w:val="0"/>
              </w:rPr>
              <w:t xml:space="preserve"> vācami dati par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informācija par dalībniekiem tiks uzkrāta 3.1.2.1.i. investīcijas 2. kārtas ietvaros, kurā plānoti nodarbinātības pieejamības veicināšanas pasākumi cilvēkiem ar funkcionāliem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īstenošanas nosacījumi un uzraudzības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pasākuma un projekta īstenošanai un uzraudzībai nepieciešamā informācija iesniegta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noteiktajā kārtībā, pēc vadības informācijas sistēmas funkcionalitātes nodrošināšanas, ministrija un finansējuma saņēmējs pēc aģentūras uzaicinājuma tās noteiktajā termiņā ievada to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ar regulējumu plānots noteikt, ka ministrija un FS pēc KPVIS funkcionalitātes nodrošinošas KPVIS vada visu informāciju, ko līdz tam bija iesnieguši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jau ir nodrošināta KPVIS funkcionalitāte noteikumu projekta 19. punktā (iepriekš 17. punkts) noteikts, ka visu datu ievadi nodrošina uzreiz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ministrija 10 darbdienu laikā pēc šo noteikumu spēkā stāšanās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noteiktajiem projektu iesniedzējiem nosūta uzaicinājumu iesniegt projekta veidlapu, informējot aģentūru par ministrijas nosūtītajiem uzaicinājumiem un aicinot aģentūru veikt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minētās darbības. Uzaicinājumā katram projekta iesniedzējam norāda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 punktā iekļautās informācijas nav nolasāms, vai uzaicinājumā būs norādīts nepieciešamais pielāgojuma veids un apjoms katrai ēkai, projektam paredzētais finansējuma apmērs, kā arī minētā informācija nav sniegta Ministru kabineta noteikumu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20.1. punktu papildināt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pielāgojuma veidu un minimālo nepieciešamo pielāgojuma apjomu katrai ēkai.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ministrijas uzaicinājumā netiks norādīta informācija par konkrētā ēkā nepieciešamajiem pielāgojumu veidiem un apjomu. Informāciju par provizoriskiem ēkas vides pieejamības pielāgojumiem sagatavos projekta iesniedzējs, iesniedzot projekta veidlapu. Savukārt konkrēti vides pieejamības pielāgojumi un to apjoms tiks noteikts, izstrādājot nepieciešamo vides pielāgojumu būvprojektu (var tikt sagatavots pēc līguma par projekta īstenošanu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ministrija 10 darbdienu laikā pēc šo noteikumu spēkā stāšanās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noteiktajiem projektu iesniedzējiem nosūta uzaicinājumu iesniegt projekta veidlapu, informējot aģentūru par ministrijas nosūtītajiem uzaicinājumiem un aicinot aģentūru veikt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minētās darbības. Uzaicinājumā katram projekta iesniedzējam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aģentūra 60 darbdienu laikā pēc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projekta veidlapas saņemšanas, ja nepieciešams, sadarbojoties ar ministriju,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termiņu (60 darbdienu), ņemot vērā, ka normatīvajā aktā ar augstāku spēku nav noteikts izņēmums uz lēmumu pieņemšanas termiņu, tad aicinu precizēt, norādot, ka lēmumu pieņem mēneša laikā. Savukārt anotācijā aicinām norādīt, ka ņemot vērā komplicēto projektu iesniegumu izvērtēšanu, kas ir ilgstošs process, termiņš lēmuma pieņemšanai tiks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aģentūra viena mēneša laikā pēc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projekta veidlapas saņemšanas, ja nepieciešams, sadarbojoties ar ministriju,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aģentūra 60 darbdienu laikā pēc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projekta veidlapas saņemšanas, ja nepieciešams, sadarbojoties ar ministriju,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20.3. apakšpunktā ietverto 60 darbdienu termiņu noteikto darbību veikšanai. Paužam bažas, ka nav gūstama pārliecība, ka ar 20.3. apakšpunktu tiek ievērots Administratīvā procesa likuma 64. panta pirmajā daļā ietvertais termiņš administratīvā akta izdošanai gadījumā, ja projekta iesniedzējs ir privātpersona.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aģentūra viena mēneša laikā pēc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projekta veidlapas saņemšanas, ja nepieciešams, sadarbojoties ar ministriju,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pārliecinās par projekta veidlapas atbilstību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 uzaicinājumā iekļautajai informācijai, vadības informācijas sistēmā iekļautajiem norādījumiem projekta veidlapas aizpildīšanai, šo noteikumu nosacījumiem un Eiropas Parlamenta un Padomes 2018. gada 18. jūlija regulā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(turpmāk - izslēgšanas kritēriji) tik tālu, cik tas attiecināms uz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20.3.1. apakšpunktā izdarīt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vienību, kas paredz attiecīgos kritērijus, tādējādi atvieglojot noteikumu projekta piemērošanu praksē. Kā arī lūdzam redakcionāli precizēt minēto apakšpunktu, izslēgšanas kritērijus attiecinot uz konkrētu tiesību subjektu (piemēram, projekta iesniedzēju), nevis uz projekta veidlapu, ņemot vērā, ka projekta veidlapa (dokuments) netiek izvērtēta iepretim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pārliecinās par projekta veidlapas atbilstību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 uzaicinājumā iekļautajai informācijai, šo noteikumu nosacījumiem, tai skaitā  projekta veidlapā pieprasītajai informācijai un ka uz projekta iesniedzēju nav attiecināmi Eiropas Parlamenta un Padomes 2018. gada 18. jūlija regulā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pārliecinās par projekta veidlapas atbilstību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 uzaicinājumā iekļautajai informācijai, vadības informācijas sistēmā iekļautajiem norādījumiem projekta veidlapas aizpildīšanai, šo noteikumu nosacījumiem un ka uz projekta iesniedzēju nav attiecināmi Eiropas Parlamenta un Padomes 2018. gada 18. jūlija regulā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 tik tālu, cik tas attiecināms uz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20.3.1. apakšpunktā svītrot norādi - "tik tālu, cik tas attiecināms uz pasākumu", jo šādai norādei nav juridiskas slodzes. Kā arī lūdzam minētajā apakspunktā svītrot norādi uz vadības informācijas sistēmā iekļautajiem norādījumiem projekta veidlapas aizpildīšanai, ņemot vērā, ka noteikumu projektā atbilstoši juridiskās tehnikas prasībām atsauces var izdarīt vienīgi uz citām noteikumu projekta vienībām (iekšējās atsauces) un atsauces uz citiem tāda paša vai augstāka juridiska spēka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redakcionāli precizēts atbilstoši LM un TM 24.08.2022. sanāksmē panāktajai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Skaidorjam, ka 20.3.1. apakšpunktā pēc līdzības ar Ministru kabineta 2022. gada 14. jūlijāa noteikumu Nr. 442 17.3. apakšunktam.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pārliecinās par projekta veidlapas atbilstību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 uzaicinājumā iekļautajai informācijai, šo noteikumu nosacījumiem, tai skaitā  projekta veidlapā pieprasītajai informācijai un ka uz projekta iesniedzēju nav attiecināmi Eiropas Parlamenta un Padomes 2018. gada 18. jūlija regulā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pieņem lēmumu par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līguma noslēgšanu, ja projekta veidlapa atbilsts šo noteikumu </w:t>
            </w:r>
            <w:r w:rsidR="00000000" w:rsidRPr="00000000" w:rsidDel="00000000">
              <w:rPr>
                <w:rtl w:val="0"/>
              </w:rPr>
              <w:t xml:space="preserve">20.3.1.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20.3.2. apakšpunktu, ņemot vērā, ka  projekta iesniedzēji paredzēti Ministru kabineta noteikumos ( MK noteikumu pielikums).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informē projekta iesniedzēju par šo noteikumu 22. punktā minētā līguma noslēgšanu, ja tiek izpildītas šo noteikumu 20.3.1. apakšpunkta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05.08.2022. e-pastā CFLA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nosūta līgumu par projekta īstenošanu parakstīšanai, ja tiek izpildītas šo noteikumu </w:t>
            </w:r>
            <w:r w:rsidR="00000000" w:rsidRPr="00000000" w:rsidDel="00000000">
              <w:rPr>
                <w:rtl w:val="0"/>
              </w:rPr>
              <w:t xml:space="preserve">20.3.1. </w:t>
            </w:r>
            <w:r w:rsidR="00000000" w:rsidRPr="00000000" w:rsidDel="00000000">
              <w:rPr>
                <w:rtl w:val="0"/>
              </w:rPr>
              <w:t xml:space="preserve">apakšpunkta</w:t>
            </w:r>
            <w:r w:rsidR="00000000" w:rsidRPr="00000000" w:rsidDel="00000000">
              <w:rPr>
                <w:rtl w:val="0"/>
              </w:rPr>
              <w:t xml:space="preserve">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pieņem lēmumu par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līguma noslēgšanu, ja projekta veidlapa atbilsts šo noteikumu </w:t>
            </w:r>
            <w:r w:rsidR="00000000" w:rsidRPr="00000000" w:rsidDel="00000000">
              <w:rPr>
                <w:rtl w:val="0"/>
              </w:rPr>
              <w:t xml:space="preserve">20.3.1. </w:t>
            </w:r>
            <w:r w:rsidR="00000000" w:rsidRPr="00000000" w:rsidDel="00000000">
              <w:rPr>
                <w:rtl w:val="0"/>
              </w:rPr>
              <w:t xml:space="preserve">apakšpunkta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20.3.2. apakšpunktu salāgot ar noteikumu projekta 2.2. apakšpunktu, no kura izriet, ka pieņemts tiek lēmums par projekta veidlapas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20.3.2. apakšunkta redakcija salāgota ar 2.2. apakšunkta redakciju (t.sk. redakcionāli precizēts 2.2. apakšunkts atbilsotši FM izziņas 39. punktā sniegtajam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20.3.2. nosūta līgumu par projekta īstenošanu parakstīšanai, ja tiek izpildītas šo noteikumu </w:t>
            </w:r>
            <w:r w:rsidR="00000000" w:rsidRPr="00000000" w:rsidDel="00000000">
              <w:rPr>
                <w:rtl w:val="0"/>
              </w:rPr>
              <w:t xml:space="preserve">20.3.1. </w:t>
            </w:r>
            <w:r w:rsidR="00000000" w:rsidRPr="00000000" w:rsidDel="00000000">
              <w:rPr>
                <w:rtl w:val="0"/>
              </w:rPr>
              <w:t xml:space="preserve">apakšpunkta</w:t>
            </w:r>
            <w:r w:rsidR="00000000" w:rsidRPr="00000000" w:rsidDel="00000000">
              <w:rPr>
                <w:rtl w:val="0"/>
              </w:rPr>
              <w:t xml:space="preserve">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pieņem lēmumu par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līguma neslēgšanu, ja projekta iesniedzējs neveic projekta veidlapas precizējumus vai tos neiesniedz aģentūras norādītajā termiņā vai arī projekta veidlapa atbilst kādam no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20.3.4. apakšpunktu, ņemot vērā, ka projekta iesniedzēji paredzēti Ministru kabineta noteikumos, kā arī teikuma daļā "vai arī projekta veidlapa atbilst kādam no izslēgšanas kritērijiem"vārdus "projekta veidlapa"aizstāt ar vārdiem "projekta iesniedzējs",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informē projekta iesniedzēju par šo noteikumu 22. punktā minētā līguma neslēgšanu, ja projekta iesniedzējs neveic projekta veidlapas precizējumus vai tos neiesniedz aģentūras norādītajā termiņā vai arī projekta iesniedzējs atbilst kādam no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20.3.4. informē projekta iesniedzēju par līguma par projekta īstenošanu neslēgšanu, ja projekta iesniedzējs neveic projekta veidlapas precizējumus vai tos neiesniedz aģentūras norādītajā termiņā vai arī projekta iesniedzējs atbilst kādam no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Labklājības ministrija ir veikusi valsts un pašvaldības sociālo pakalpojumu sniedzēju ēku vides pieejamības izvērtējumu un sagatavojusi MK noteikumu pielikumu ar potenciālajiem finansējuma saņēmējiem, CFLA iebilst pret  19. un 20. punktā paredzēto un lūdz noteikt, ka nozares ministrija aicina finansējuma saņēmējus iesniegt projekta veidlapu, veic tā pārbaudi un informē CFLA, ka tā var uzsākt līguma slēgšanas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(iepriekš 19. punkts) precizēts atbilstoši 31.05.2022. starptinstitūciju sanāksmē (piedalījās, Finanšu minsitrija, Centrālā finanšu un līgumu aģentūra un Labklājības ministrija) pārrunātajam un panāktajai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20.3.4. </w:t>
            </w:r>
            <w:r w:rsidR="00000000" w:rsidRPr="00000000" w:rsidDel="00000000">
              <w:rPr>
                <w:rtl w:val="0"/>
              </w:rPr>
              <w:t xml:space="preserve">apakšpunktā</w:t>
            </w:r>
            <w:r w:rsidR="00000000" w:rsidRPr="00000000" w:rsidDel="00000000">
              <w:rPr>
                <w:rtl w:val="0"/>
              </w:rPr>
              <w:t xml:space="preserve"> minēto aģentūras lēmumu projekta iesniedzējs var apstrīdēt Finanšu ministrijā atbilstoši normatīvajos aktos par administratīvo procesu noteiktajai kārtībai.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Centrālā finanšu un līgumu aģentūra neveic projektu atlasi, jo projektu iesniedzēji noteikti ar Ministru kabineta noteikumiem (MK noteikumu pielikums), bet gan CFLA pārliecinās par uzaicinājumā minētās informācijas atbilstību, lūdzam svītrot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20.3.4. </w:t>
            </w:r>
            <w:r w:rsidR="00000000" w:rsidRPr="00000000" w:rsidDel="00000000">
              <w:rPr>
                <w:rtl w:val="0"/>
              </w:rPr>
              <w:t xml:space="preserve">apakšpunktā</w:t>
            </w:r>
            <w:r w:rsidR="00000000" w:rsidRPr="00000000" w:rsidDel="00000000">
              <w:rPr>
                <w:rtl w:val="0"/>
              </w:rPr>
              <w:t xml:space="preserve"> minēto aģentūras lēmumu projekta iesniedzējs var apstrīdēt Finanšu ministrijā atbilstoši normatīvajos aktos par administratīvo procesu noteiktajai kārtībai. Finanšu ministrijas izdoto lēmumu var pārsūdzēt Administratīvā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13. punktam projekta iesniedzējs cita starpā var būt pašvaldība jeb atvasināta publisko tiesību juridiskā persona, lūdzam atbilstoši valsts pārvaldes vienotības principam noteikumu projekta 21. punktā neparedzēt  lēmuma apstrīdēšanas iespēju </w:t>
            </w:r>
            <w:r w:rsidR="00000000" w:rsidRPr="00000000" w:rsidDel="00000000">
              <w:rPr>
                <w:u w:val="single"/>
                <w:rtl w:val="0"/>
              </w:rPr>
              <w:t xml:space="preserve">atbilstoši normatīvajos aktos par administratīvo procesu noteiktajai kārtībai</w:t>
            </w:r>
            <w:r w:rsidR="00000000" w:rsidRPr="00000000" w:rsidDel="00000000">
              <w:rPr>
                <w:rtl w:val="0"/>
              </w:rPr>
              <w:t xml:space="preserve"> un Finanšu ministrijas izdotā lēmuma pārsūdzēšanu Administratīvajā rajona tiesā gadījumos, ja projekta iesniedzējs nav privātpersona. Norādām, ka tiesiskās attiecības starp divām publiskām personām, kuru objekts ir kādas publiskas personas manta, var būt apspriežamas vienīgi no valsts pārvaldes interešu viedokļa. Tas, savukārt nozīmē, ka pār šīm tiesiskajām attiecībām tiesu varas kontrole nav iespējama, un mantiskie strīdi starp divām publiskām personām ir risināmi hierarhiskā kārtībā (sal. </w:t>
            </w:r>
            <w:r w:rsidR="00000000" w:rsidRPr="00000000" w:rsidDel="00000000">
              <w:rPr>
                <w:i w:val="1"/>
                <w:rtl w:val="0"/>
              </w:rPr>
              <w:t xml:space="preserve">Danovskis E., Briede J. Publisko tiesību subjektu civiltiesiskais statuss. Jurista Vārds. 2012. 14. februāris Nr. 7 (706), 6.-11.lpp.</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VSIA "Šampētera nams" un VAS "Valsts nekustamie īpašumi" pasākuma ietvaros veic valsts funkciju izpildi (t.i., pārvalda LM un FM nekustamo īpašumu). Ievērojot minēto, CFLA nepieņem administratīvo aktu par projekta veidlapas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aģentūra sagatavo un saskaņo ar ministriju jautājumu sarakstu projekta veidlapā norādītās informācijas atbilstības pārbaudei;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pamattekstā ietverto regulējumu par projekta veidlapu iesniegšanas un apstiprināšanas kārtību salāgot ar noteikumu projekta 2.3. apakšpunktu, kas paredz, ka iesniegts un apstiprināts tiek projekta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apakšpunkts redakcionāli precizēts, nosakot, ka projekta iesniedzējs iesniedz un aģentūra apstiprina projekta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ministrija 10 darbdienu laikā pēc šo noteikumu spēkā stāšanās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noteiktajiem projektu iesniedzējiem nosūta uzaicinājumu iesniegt projekta veidlapu, informējot aģentūru par ministrijas nosūtītajiem uzaicinājumiem un aicinot aģentūru veikt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minētās darbības. Uzaicinājumā katram projekta iesniedzējam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aģentūra sagatavo un saskaņo ar ministriju jautājumu sarakstu projekta veidlapā norādītās informācijas atbilstības pārbaudei;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vai anotāciju ar informāciju, ka tiks izvērtēta arī atbilstība Finanšu regulā (Eiropas Parlamenta un Padomes Regula (ES, Euratom) 2018/1046) noteiktajiem izslēgšanas nosacījumiem, tik tālu cik tas attiecināms uz konkrēto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papildināts ar jaunu 20.3.1. apakšpunktu, ietverot atsauci uz Eiropas Parlamenta un Padomes Regulas (ES, Euratom) Nr. 2018/1046 izslēgsanas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ministrija 10 darbdienu laikā pēc šo noteikumu spēkā stāšanās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noteiktajiem projektu iesniedzējiem nosūta uzaicinājumu iesniegt projekta veidlapu, informējot aģentūru par ministrijas nosūtītajiem uzaicinājumiem un aicinot aģentūru veikt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minētās darbības. Uzaicinājumā katram projekta iesniedzējam norāda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aģentūra 10 darbdienu laikā pēc šo noteikumu spēkā stāšanās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noteiktajiem pirmajiem 63 ēku īpašniekiem vai tiesiskajiem valdītājiem nosūta uzaicinājumu iesniegt projekta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19.2.apakšpunktu atbilstoši iebildumam pie noteikumu projekta 11.punkta.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izziņas 33. punktā notiekumu projekts redakcionāli precizēts, konsekventi apzīmējuma “īpašnieks, tiesiskais valdītājs vai pārvaldnieks” vietā lietojot apzīmējumu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projekta iesniedzējs 20 darbdienu laikā pēc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minētā uzaicinājuma saņemšanas iesniedz projekta veidlapu. Par visām ēkām, kuras norādītas ministrijas uzaicinājumā un kurās plānots nodrošināt vides pieejamību, sagatavo vienu projekta veidlapu. Ja projekta veidlapa sagatavota par vairākām ēkām, kopējo Atveseļošanas fonda finansējumu var pārdalīt starp minētajām ēkām, atkāpjoties no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noteiktā Atveseļošanas fonda finansējuma apmēra vienai ēkai, bet nepārsniedzot ēkām kopējo pieejamo Atveseļošanas fonda finansējuma kopsummu;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19.2.2. elektroniska dokumenta veidā, kas parakstīts ar drošu elektronisko parakstu un satur laika zīmogu, ja uz informācijas iesniegšanas brīdi nav nodrošināta vadības informācijas sistēmas funkcionalitāte;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lūdzam noteikumu projekta 19.2.2. apakšpunktā nedublēt Elektronisko dokumentu likuma 3. pantā ietvertās prasības. Arī cituviet noteikumu projektā lūdzam nepārrakstīt prasības, kuras izriet no minētā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jo dokumenti uzreiz tiks iesniegti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aģentūra 40 darbdienu laikā pēc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minētās projekta veidlapas saņemšanas organizē tās pārbaudi atbilstoši šajos noteikumos noteiktajam un, ja nepieciešams, lūdz finansējuma saņēmēju veikt projekta veidlapas papildinājumus un precizējumus, nosakot arī termiņus precizējumu un papildinājumu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skaidrs kā pārbaudi veic. Lūdzu papildināt ar atbilstošu kārtību. Papildus vēršam uzmanību, ka projekta iesniegumu vērtē nevis 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aicinu svītrot vārdu “organizē”, jo no šī brīža redakcijas tiek tikai organizēta pārbaude nevis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aģentūras rīcību pēc precizējumu saņemšanas. Vai iespējama vairākkārtīga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notiekumu 20.3. apakšpunkts, nosakot kārtību projekta veidlapas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atbilstoši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noteiktajam ēkas īpašnieks vai tiesiskais valdītājs neiesniedz projekta veidlapu vai tās precizējumus aģentūras noteiktajā termiņā un kārtībā, vai, ja netiek noslēgts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minētais līgums, aģentūra nosūta uzaicinājumu iesniegt projekta veidlapu nākamajam pēc kārtas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noteiktajam ēkas īpašniekiem vai tiesiskajiem valdītājam, saskaņojot to ar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19.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ēkas īpašnieka vai tiesiskais valdītāja vieta lietojot apzīmējumu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atbilstoši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noteiktajam ēkas īpašnieks vai tiesiskais valdītājs neiesniedz projekta veidlapu vai tās precizējumus aģentūras noteiktajā termiņā un kārtībā, vai, ja netiek noslēgts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minētais līgums, aģentūra nosūta uzaicinājumu iesniegt projekta veidlapu nākamajam pēc kārtas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noteiktajam ēkas īpašniekiem vai tiesiskajiem valdītājam, saskaņojot to ar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un vienveidīgu terminoloģiju attiecībā uz tiesību subjektiem, kuri iesniedz projekta iesniegumu (tai skaitā - projekta viedlapu) - projekta iesniedzējs, nevis ēkas īpašnieks vai tiesiskais valdītājs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atbilstoši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noteiktajam ēkas īpašnieks vai tiesiskais valdītājs neiesniedz projekta veidlapu vai tās precizējumus aģentūras noteiktajā termiņā un kārtībā, vai, ja netiek noslēgts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minētais līgums, aģentūra nosūta uzaicinājumu iesniegt projekta veidlapu nākamajam pēc kārtas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noteiktajam ēkas īpašniekiem vai tiesiskajiem valdītājam, saskaņojot to ar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20. punktā vai noteikumu projekta anotācijā skaidrot apstākļus, kādos var netikt noslēgts šo noteikumu 21. punktā minētais līgums, nepieciešamības gadījumā noteikumu projektā atrunājot termiņu (arī kārtību), kādos attiecīgais līgums ir noslēdzams.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20.3.2. un 20.3.4. apakšpunktu, kurā noteikta līguma slēgšanas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atbilstoši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noteiktajam ēkas īpašnieks vai tiesiskais valdītājs neiesniedz projekta veidlapu vai tās precizējumus aģentūras noteiktajā termiņā un kārtībā, vai, ja netiek noslēgts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minētais līgums, aģentūra nosūta uzaicinājumu iesniegt projekta veidlapu nākamajam pēc kārtas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noteiktajam ēkas īpašniekiem vai tiesiskajiem valdītājam, saskaņojot to ar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20.punktu atbilstoši iebildumam pie noteikumu projekta 11.punkta.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ēkas īpašnieka vai tiesiskais valdītāja vieta lietojot apzīmējumu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atbilstoši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noteiktajam ēkas īpašnieks vai tiesiskais valdītājs neiesniedz projekta veidlapu vai tās precizējumus aģentūras noteiktajā termiņā un kārtībā, vai, ja netiek noslēgts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minētais līgums, aģentūra nosūta uzaicinājumu iesniegt projekta veidlapu nākamajam pēc kārtas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noteiktajam ēkas īpašniekiem vai tiesiskajiem valdītājam, saskaņojot to ar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kāda būs rīcība, ja tiks saņemts iebildums par CFLA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21. punktu, kurā noteikta aģentūras lēmumu pārsūdzēšanas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strīdu izšķiršanas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ka līgumā ir ietverti arī nosacījumi kādos CFLA var vienpusēji uzteikt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22.11. apakšunktu.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strīdu izšķiršanas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plānoto progresa pārskatu iesniegšanas grafiku, kurā norāda maksājumu veidu (avansa maksājums, starpposma maksājums vai gala maksājums), maksājuma apmēru un pieprasīšanas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22.1.apakšpunktā terminoloģiju atbilstoši MK 07.09.2021. noteikumos Nr.621 un lietotajai terminoloģijai “maksājuma pieprasījums”, kā arī papildināt ar informāciju, ka tas iesniedzams ne retāk kā divas reizes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23.1. apakšpunkts (iepriekš 22.1. apakšpunkts) redakcionāli precizets, papildinot to ar atsauci uz 26.10. apakšpunktu, kas nosaka pienākumu finansējuma saņēmējam iesniegt progresa pārskatus ne retāk kā divas reizes gadā – proti, līdz kārtējā gada 10. janvārim (ar statusu uz iepriekšējā gada 31. decembri) un 10. jūnijam (ar statusu uz kārtējā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skaidro, ka finansējuma saņēmēji, lai ziņotu par progresu pasākuma projekta īstenošanā, iesniegs progresa pārskatus atbilstoši iesniegtajam plānoto progresa pārskatu iesniegšanas grafikam. Savukārt progresa pārskatos ietvertā informācija tiks izmantota, lai CFLA un LM kā nozares ministrija sagatavotu nepieciešamo informāciju iekļaušanai maksājumu pieprasījumos un progresa ziņojumos, kas tiks iesniegti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vadoties no finansējuma saņēmēja veida, ministrija ir paredzējusi finansējuma saņēmējam avansa maksājums, starpposma maksājums un gala maksājums, lai nodrošinātu finansējuma pieejamību pasākuma ietvaros plānoto darbību īstenošanu. Minētie maksājumi tiks veikti, balstoties uz noteikumu projektā iekļauto pieprasījumu izskatīšanas un maksājumu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ir pārskatīta lietotā terminoloģija – lietojot terminu “maksājumu pieprasījums” attiecībā uz informāciju, kas iesniedzama EK, savukārt termins “pieprasījums maksājumam” attiecībā uz finansējuma saņēmēja iesniegto pieprasījumu avansa/starpposma/gala maksājumam.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plānoto progresa pārskatu iesniegšanas grafiku, kurā norāda maksājumu veidu (avansa maksājums, starpposma maksājums vai noslēguma maksājums), maksājuma apmēru un pieprasīšanas termiņu. Plānoto progresa pārskatu iesniegšanas grafiku izstrādā, ņemot vērā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minētos termiņus informācijas ievadei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finansējuma saņēmējs sagatavo pieprasījumu avansa maksājumam, kurā pamato avansa maksājuma nepieciešamību un apmēru. Avansa maksājuma apmērs nevar pārsniegt 40 procentus no projekta Atveseļošanas fonda finansējuma apmēra un tas ir jāapgūst sešu mēnešu laikā saimnieciskā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vai ir paredzēts viens avansa maksājums un pārējie būs starpposma maksājumi? Lūdzam norādīt procentuālo apmēru, kuru kopsummu nevar pasniegt attiecīgie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vadlīniju Nr. 1 “Vadlīnijas informatīvā ziņojuma vai Ministru kabineta noteikumu izstrādei par Eiropas Savienības Atveseļošanas un noturības mehānisma plāna reformas vai investīcijas ieviešanu” 48. punktam avansu plānošanā tiek aicināts neparedzēt lielāku avansa un starpposma maksājumu par 90% no kopējā investīcijas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avansa apmēru, ņemot vērā, ka atbilstoši Finanšu ministrijas vadlīniju Nr. 1 “Vadlīnijas informatīvā ziņojuma vai Ministru kabineta noteikumu izstrādei par Eiropas Savienības Atveseļošanas un noturības mehānisma plāna reformas vai investīcijas ieviešanu” 47. punktam avansa maksājumu var plānot ne lielāku kā 30% no projektā paredzētā AF finansējuma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24. punkts, kā arī noteikumu projekts papildināts ar jaunu 24.4.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finansējuma saņēmējs sagatavo pieprasījumu avansa maksājumam, kurā pamato avansa maksājuma nepieciešamību un apmēru. Avansa maksājuma apmērs nevar pārsniegt 30 procentus no projekta Atveseļošanas fonda finansējuma apmēra un tas ir jāapgūst sešu mēnešu laikā saimnieciskā gada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šo noteikumu </w:t>
            </w:r>
            <w:r w:rsidR="00000000" w:rsidRPr="00000000" w:rsidDel="00000000">
              <w:rPr>
                <w:rtl w:val="0"/>
              </w:rPr>
              <w:t xml:space="preserve">24.1.2.</w:t>
            </w:r>
            <w:r w:rsidR="00000000" w:rsidRPr="00000000" w:rsidDel="00000000">
              <w:rPr>
                <w:rtl w:val="0"/>
              </w:rPr>
              <w:t xml:space="preserve">, </w:t>
            </w:r>
            <w:r w:rsidR="00000000" w:rsidRPr="00000000" w:rsidDel="00000000">
              <w:rPr>
                <w:rtl w:val="0"/>
              </w:rPr>
              <w:t xml:space="preserve">24.2.2.</w:t>
            </w:r>
            <w:r w:rsidR="00000000" w:rsidRPr="00000000" w:rsidDel="00000000">
              <w:rPr>
                <w:rtl w:val="0"/>
              </w:rPr>
              <w:t xml:space="preserve"> un </w:t>
            </w:r>
            <w:r w:rsidR="00000000" w:rsidRPr="00000000" w:rsidDel="00000000">
              <w:rPr>
                <w:rtl w:val="0"/>
              </w:rPr>
              <w:t xml:space="preserve">24.3.2. </w:t>
            </w:r>
            <w:r w:rsidR="00000000" w:rsidRPr="00000000" w:rsidDel="00000000">
              <w:rPr>
                <w:rtl w:val="0"/>
              </w:rPr>
              <w:t xml:space="preserve">apakšpunktā</w:t>
            </w:r>
            <w:r w:rsidR="00000000" w:rsidRPr="00000000" w:rsidDel="00000000">
              <w:rPr>
                <w:rtl w:val="0"/>
              </w:rPr>
              <w:t xml:space="preserve"> noteiktā maksājuma veikšanas termiņu aģentūra var pagarināt, ja nepieciešama papildu informācija no finansējuma saņēmēja vai aģentūrai ir iebildumi par avansa maksājuma, starpposma maksājuma vai noslēguma maksājuma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termiņu uz kādu var pagarināt maksājuma veikšanas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23.2.2.</w:t>
            </w:r>
            <w:r w:rsidR="00000000" w:rsidRPr="00000000" w:rsidDel="00000000">
              <w:rPr>
                <w:rtl w:val="0"/>
              </w:rPr>
              <w:t xml:space="preserve"> un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noteiktā maksājuma veikšanas termiņu aģentūra var pagarināt uz laiku ne ilgāku par 10 darbdienām, ja nepieciešama papildu informācija no finansējuma saņēmēja, aģentūrai ir iebildumi par maksājuma pamatojumu vai maksājuma pamatojuma izvērtēšanai ir nepieciešams papildu laiks;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finansējuma saņēmējs sagatavo avansa maksājuma pieprasījumu, kurā pamato avansa maksājuma nepieciešamību un apmēru. Avansa maksājuma apmērs nevar pārsniegt 30 procentus no projekta kopējā attiecināmā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 vārda “apmēra” papildināt ar “un tas ir jāapgūst sešu mēnešu laikā saimnieciskā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 vārdus "kopējā attiecināmā".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finansējuma saņēmējs sagatavo pieprasījumu avansa maksājumam, kurā pamato avansa maksājuma nepieciešamību un apmēru. Avansa maksājuma apmērs nevar pārsniegt 30 procentus no projekta Atveseļošanas fonda finansējuma apmēra un tas ir jāapgūst sešu mēnešu laikā saimnieciskā gada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finansējuma saņēmējs sagatavo avansa maksājuma pieprasījumu, kurā pamato avansa maksājuma nepieciešamību un apmēru. Avansa maksājuma apmērs nevar pārsniegt 30 procentus no projekta kopējā attiecināmā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ir paredzēts viens avansa maksājums un pārējie būs starpposma maksājumi? Lūdzu norādīt procentuālo apmēru, kuru kopsummu nevar pasniegt attiecīgie maksājumi.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var pieprasīt avansa maksājumu (avansa maksājuma apmērs nevar pārsniegt 40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pārējie maksājumi ir paredzēti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starpposma maksājumi (pirmo starpposma maksājuma pieprasījumu iesniedz, pamatojot noteikumu 7.2. apakšpunktā noteikta atskaites punkta sasniegšanu, tai skaitā ietverot noteikumu 8.2. apakšpunktā noteikto dokumentu un informācija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gala maksājums (tā pieprasīšanai finansējuma saņēmējam būs jāpamato projekta faktiski veiktās izmaksas, to apmērs. Tas tiks izmaksāts pamatojot noteikumu 7.3. apakšpunktā noteiktā atskaites punkta sasniegšanu, tai skaitā ietverot noteikumu 8.3. apakšpunktā noteikto dokumentu un informācijas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finansējuma saņēmējs sagatavo pieprasījumu avansa maksājumam, kurā pamato avansa maksājuma nepieciešamību un apmēru. Avansa maksājuma apmērs nevar pārsniegt 30 procentus no projekta Atveseļošanas fonda finansējuma apmēra un tas ir jāapgūst sešu mēnešu laikā saimnieciskā gada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atbalstāmās darbības ietvaros vizuālās identitātes prasības nodrošina atbilstoši regulas Nr. </w:t>
            </w:r>
            <w:r w:rsidR="00000000" w:rsidRPr="00000000" w:rsidDel="00000000">
              <w:rPr>
                <w:rtl w:val="0"/>
              </w:rPr>
              <w:t xml:space="preserve">2021/241</w:t>
            </w:r>
            <w:r w:rsidR="00000000" w:rsidRPr="00000000" w:rsidDel="00000000">
              <w:rPr>
                <w:rtl w:val="0"/>
              </w:rPr>
              <w:t xml:space="preserve"> 34. panta un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līguma nosacījumiem, Eiropas Komisijas un Latvijas Republikas Atveseļošanas un noturības mehānisma finansēšanas nolīguma 10. pantam un Finanšu ministrijas vadlīnijās “Eiropas Savienības fondu 2021.-2027. gada plānošanas perioda komunikācijas un dizaina vadlīnijas”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25.2. un 26.2. apakšpunktā svītrot atsauces uz vadlīnijām un metodiku. Norādām, ka līdzīga iepriekšēja prakse nav pamats noteikumu projektā ietvert tiesisko regulējumu, kurš, iespējams, neatbilst pamattiesībām zināt savas tiesības. Skaidrojam, ka tas vien, ka 25.2. un 26.2. apakšpunktā netiek ietvertas minētās atsauces, nenozīmē, ka minētās vadlīnijas un metodika nevar tikt izmantotas kā attiecīgo saistošo noteikumu projekta normu interpretācijas palīglīdzeklis, skaidrojot vizuālās identitātes prasības un noteikumu projekta 7.2. un 7.3. apakšpunktā norādīto atskaites punkta sasniegšanas pamatošanai, nepieciešamības gadījumā to detalizējumu ietverot arī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25.2. apakšunkta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infomrāciju par vizuālās identitātes prasību nodrošināšanas un atskaites punktu pamatošanas nosacījumiem plānots ietvert līgumā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atbalstāmās darbības ietvaros vizuālās identitātes prasības nodrošina atbilstoši regulas Nr. </w:t>
            </w:r>
            <w:r w:rsidR="00000000" w:rsidRPr="00000000" w:rsidDel="00000000">
              <w:rPr>
                <w:rtl w:val="0"/>
              </w:rPr>
              <w:t xml:space="preserve">2021/241</w:t>
            </w:r>
            <w:r w:rsidR="00000000" w:rsidRPr="00000000" w:rsidDel="00000000">
              <w:rPr>
                <w:rtl w:val="0"/>
              </w:rPr>
              <w:t xml:space="preserve"> 34. panta un līguma par projekta īstenošanu nosacījumiem, un Eiropas Komisijas un Latvijas Republikas Atveseļošanas un noturības mehānisma finansēšanas nolīguma 10.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23.2.1. finansējuma saņēmējs sagatavo starpposma maksājuma pieprasījumu, kurā pamato projektā faktiski veiktās izmaksas un starpposma maksājuma apmēru. Starpposma maksājuma pieprasījumu finansējuma saņēmējs var iesniegt ne biežāk kā reizi ceturksnī. 2023. gadā pirmo starpposma maksājuma pieprasījumu iesniedz līdz 10. janvārim, pamatojot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noteikta atskaites punkta sasniegšanu, tai skaitā ietverot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noteikto dokumentu un informācija kopumu;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neveidotu lieku administratīvo slogu CFLA konkrētā laika periodā, lūdzam izslēgt no MKN minēto nosacījumu, ka pirmais MP 2023 gadā iesniedzams līdz 2023.gada 10.janvārim, precizējot nosacījumu, ka līdz minētajam datumam ir jāinformē CFLA par 6.2. atskaites punkta sasniegšanu, konkrēti nenorādot atskaites 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tiek gatavots  2 reizes gadā,  lūdzam otro teikumu izteikt šādā redakcijā: "Starpposma maksājuma pieprasījumu finansējuma saņēmējs iesniedz ne retāk kā reizi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24.2.1. apakšpunkts (iepriekš 23.2.1. apakšpunkts), paredzot pieprasījumu starpposma maksājumiem iesniegt ne retāk kā reizi pusgadā. Vienlaikus svītrots nosacījums par pirmā pieprasījuma starpposma maksājumam iesniegšanas termiņu ne vēlāk kā līdz 2023. gada 10. janvārim. Tomēr ir saglabāts nosacījums, ka pieprasījums starpposma maksājumam ir veicams, pamatojot noteikumu projekta 7.2. apakšpunktā noteikto atskaites punktu un iesniedzot noteikumu 8.2. apakšpunktā minēto informāciju ar mērķi veicināt atskaites punktu sasniegšanu un mazinātu riskus gadījumos, ja rastos vajadzība to atgūt no finansējuma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23.2.1. finansējuma saņēmējs sagatavo pieprasījumu starpposma maksājumam, kurā pamato projektā faktiski veiktās izmaksas un starpposma maksājuma apmēru. Pieprasījumu starpposma maksājumam finansējuma saņēmējs var iesniegt ne biežāk kā reizi pusgadā. Pirmo pieprasījumu starpposma maksājumam iesniedz, pamatojot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noteikta atskaites punkta sasniegšanu, tai skaitā ietverot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noteikto dokumentu un informācijas kopumu;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aģentūra pārbauda šo noteikumu </w:t>
            </w:r>
            <w:r w:rsidR="00000000" w:rsidRPr="00000000" w:rsidDel="00000000">
              <w:rPr>
                <w:rtl w:val="0"/>
              </w:rPr>
              <w:t xml:space="preserve">23.2.1. </w:t>
            </w:r>
            <w:r w:rsidR="00000000" w:rsidRPr="00000000" w:rsidDel="00000000">
              <w:rPr>
                <w:rtl w:val="0"/>
              </w:rPr>
              <w:t xml:space="preserve">apakšpunktā</w:t>
            </w:r>
            <w:r w:rsidR="00000000" w:rsidRPr="00000000" w:rsidDel="00000000">
              <w:rPr>
                <w:rtl w:val="0"/>
              </w:rPr>
              <w:t xml:space="preserve"> minēto starpposma maksājuma pieprasījumu un, ja aģentūrai nav iebildumu par starpposma maksājuma pamatojumu, veic avansa maksājumu 30 darbdienu laikā no starpposma maksājuma pieprasījuma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 pēdējo teikuma daļu, vārda “avansa” vietā norādot vārdu “starpposma”.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aģentūra pārbauda šo noteikumu </w:t>
            </w:r>
            <w:r w:rsidR="00000000" w:rsidRPr="00000000" w:rsidDel="00000000">
              <w:rPr>
                <w:rtl w:val="0"/>
              </w:rPr>
              <w:t xml:space="preserve">23.2.1. </w:t>
            </w:r>
            <w:r w:rsidR="00000000" w:rsidRPr="00000000" w:rsidDel="00000000">
              <w:rPr>
                <w:rtl w:val="0"/>
              </w:rPr>
              <w:t xml:space="preserve">apakšpunktā</w:t>
            </w:r>
            <w:r w:rsidR="00000000" w:rsidRPr="00000000" w:rsidDel="00000000">
              <w:rPr>
                <w:rtl w:val="0"/>
              </w:rPr>
              <w:t xml:space="preserve"> minēto pieprasījumu starpposma maksājumam un, ja aģentūrai nav iebildumu par starpposma maksājuma pamatojumu, veic starpposma maksājumu 30 darbdienu laikā no starpposma maksājuma pieprasījuma saņemšanas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aģentūra pārbauda šo noteikumu </w:t>
            </w:r>
            <w:r w:rsidR="00000000" w:rsidRPr="00000000" w:rsidDel="00000000">
              <w:rPr>
                <w:rtl w:val="0"/>
              </w:rPr>
              <w:t xml:space="preserve">23.2.1. </w:t>
            </w:r>
            <w:r w:rsidR="00000000" w:rsidRPr="00000000" w:rsidDel="00000000">
              <w:rPr>
                <w:rtl w:val="0"/>
              </w:rPr>
              <w:t xml:space="preserve">apakšpunktā</w:t>
            </w:r>
            <w:r w:rsidR="00000000" w:rsidRPr="00000000" w:rsidDel="00000000">
              <w:rPr>
                <w:rtl w:val="0"/>
              </w:rPr>
              <w:t xml:space="preserve"> minēto starpposma maksājuma pieprasījumu un, ja aģentūrai nav iebildumu par starpposma maksājuma pamatojumu, veic avansa maksājumu 30 darbdienu laikā no starpposma maksājuma pieprasījuma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jo avansa maksājums un starpposma maksājums ir divi atšķirīgi maksājumu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aģentūra pārbauda šo noteikumu </w:t>
            </w:r>
            <w:r w:rsidR="00000000" w:rsidRPr="00000000" w:rsidDel="00000000">
              <w:rPr>
                <w:rtl w:val="0"/>
              </w:rPr>
              <w:t xml:space="preserve">23.2.1. </w:t>
            </w:r>
            <w:r w:rsidR="00000000" w:rsidRPr="00000000" w:rsidDel="00000000">
              <w:rPr>
                <w:rtl w:val="0"/>
              </w:rPr>
              <w:t xml:space="preserve">apakšpunktā</w:t>
            </w:r>
            <w:r w:rsidR="00000000" w:rsidRPr="00000000" w:rsidDel="00000000">
              <w:rPr>
                <w:rtl w:val="0"/>
              </w:rPr>
              <w:t xml:space="preserve"> minēto pieprasījumu starpposma maksājumam un, ja aģentūrai nav iebildumu par starpposma maksājuma pamatojumu, veic starpposma maksājumu 30 darbdienu laikā no starpposma maksājuma pieprasījuma saņemšanas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23.2.2.</w:t>
            </w:r>
            <w:r w:rsidR="00000000" w:rsidRPr="00000000" w:rsidDel="00000000">
              <w:rPr>
                <w:rtl w:val="0"/>
              </w:rPr>
              <w:t xml:space="preserve"> un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noteiktos maksājumu veikšanas termiņus aģentūra var pagarināt, ja nepieciešama papildu informācija no finansējuma saņēmēja vai aģentūrai ir iebildumi par avansa maksājuma, starpposma maksājuma vai noslēguma maksājuma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jo avansa maksājums un starpposma maksājums ir divi atšķirīgi maksājumu 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saprotams, kādu precizējumu jāveic noteikumu projekta 24.4. apakšpunktā (iepriekš 23.4.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redakcionāli precizēts noteikumu projekta 24.2.2. apakšpunkts (iepriekš 23.2.2.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23.2.2.</w:t>
            </w:r>
            <w:r w:rsidR="00000000" w:rsidRPr="00000000" w:rsidDel="00000000">
              <w:rPr>
                <w:rtl w:val="0"/>
              </w:rPr>
              <w:t xml:space="preserve"> un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noteiktā maksājuma veikšanas termiņu aģentūra var pagarināt uz laiku ne ilgāku par 10 darbdienām, ja nepieciešama papildu informācija no finansējuma saņēmēja, aģentūrai ir iebildumi par maksājuma pamatojumu vai maksājuma pamatojuma izvērtēšanai ir nepieciešams papildu laiks;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minētās atbalstāmās darbības ietvaros piesaista projekta vadības personālu un nodrošina, ka projekta īstenošanas laikā atbilstoši Eiropas Parlamenta un Padomes 2021. gada 12. februāra Regulas (ES)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2021/241), 22. pantā noteiktajam tiek ievēroti interešu konflikta, korupcijas un krāpšanas novēršanas nosacījumi,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24.1. apakšpunktā izsmeļoši noteikt interešu konflikta, korupcijas un krāpšanas novēršanas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ietvaros piesaista projekta vadības personālu un nodrošina, ka projekta īstenošanas laikā atbilstoši Eiropas Parlamenta un Padomes 2021. gada 12. februāra Regulas (ES) Nr.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2021/241), 22. pantā noteiktajam tiek ievēroti interešu konflikta, korupcijas un krāpšanas novēršanas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24.1.2. nodrošina, ka projekta vadības personāls paraksta apliecinājumu par pienākumu ziņot par konstatētajiem vai iespējamajiem trūkumiem vai pārkāpumiem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papildināt, ka ziņo arī par korupcijas un interešu konflikta avi korupcijas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projekta 25.1. apakšpunkts (iepriekš 24.1. apakšpunkts) ietverot atsauci uz normatīvajos aktos noteiktiem interešu konflikta, korupcijas un krāpšanas novēršanas un dubultā finansējuma novēršanas nosacījumiem, kuri, t.sk. ietver ziņošanas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minētās atbalstāmās darbības ietvaros publicitātes un informatīvos pasākumus nodrošina atbilstoši regulas Nr. </w:t>
            </w:r>
            <w:r w:rsidR="00000000" w:rsidRPr="00000000" w:rsidDel="00000000">
              <w:rPr>
                <w:rtl w:val="0"/>
              </w:rPr>
              <w:t xml:space="preserve">2021/241</w:t>
            </w:r>
            <w:r w:rsidR="00000000" w:rsidRPr="00000000" w:rsidDel="00000000">
              <w:rPr>
                <w:rtl w:val="0"/>
              </w:rPr>
              <w:t xml:space="preserve"> 34. panta un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minētā līguma nosacījumiem, un Finanšu ministrijas vadlīnijās “Eiropas Savienības fondu 2021.-2027. gada plānošanas perioda komunikācijas un dizaina vadlīnijas”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24.2. apakšpunktā ietverta atsauce uz Finanšu ministrijas vadlīnijām “Eiropas Savienības fondu 2021.-2027. gada plānošanas perioda komunikācijas un dizaina vadlīnijas”. Ievērojot to, ka šis dokuments nav juridiski saistošs un tam ir ieteikuma raksturs, lūdzam precizēt noteikumu projekta 24.2. apakšpunktu, svītrojot atsauci uz minēto dokumentu. Tā vietā, ja nepieciešams, lūdzam attiecīgo minēto vadlīniju saturu, kuru nepieciešams padarīt saistošu privātpersonām, pārņemt noteikumu projektā, līdzīgi kā pārņem direktīvu normas. Vēršam uzmanību, ka atbilstoši noteikumu Nr. 108 131. punktam noteikumu projektā var ietvert atsauces uz citām noteikumu 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līdzīgi lūdzam izvērtēt un svītrot atsauces uz citiem noteikumu projekta minētajiem nesaistošajiem dokumentiem, piemēram, 25.2. apakšpunktā minētajiem.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līdzīga prakse normatīvā regulējuma ziņā tiek īstenota 2014. – 2020. gada plānošanas periodā. Kā piemēru, lūdzam skatīt 17.02.2015. Ministru kabineta noteikumu Nr. 87 “Kārtība, kādā Eiropas Savienības struktūrfondu un Kohēzijas fonda ieviešanā 2014.–2020. gada plānošanas periodā nodrošināma komunikācijas un vizuālās identitātes prasību ievērošana” 2.7. apakšpunktu un 8. punktu. Papildus vēlamies atzīmēt, ka arī līgumā ar finansējuma saņēmēju tiks noteikts pienākums ievērot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noteikumu projekta 30.2. apakšpunktā (iepriekš 25.2. apakšpunkts) saglabāta atsauce uz ministrijas izstrādātajiem metodiskiem materiāliem, kas nepieciešami, lai formalizētu finansējuma saņēmēju iesniedzamo informāciju par atskaites punktu izpildi un lai sagatavotu apkopojumu EK par atskaites punktu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atbalstāmās darbības ietvaros vizuālās identitātes prasības nodrošina atbilstoši regulas Nr. </w:t>
            </w:r>
            <w:r w:rsidR="00000000" w:rsidRPr="00000000" w:rsidDel="00000000">
              <w:rPr>
                <w:rtl w:val="0"/>
              </w:rPr>
              <w:t xml:space="preserve">2021/241</w:t>
            </w:r>
            <w:r w:rsidR="00000000" w:rsidRPr="00000000" w:rsidDel="00000000">
              <w:rPr>
                <w:rtl w:val="0"/>
              </w:rPr>
              <w:t xml:space="preserve"> 34. panta un līguma par projekta īstenošanu nosacījumiem, un Eiropas Komisijas un Latvijas Republikas Atveseļošanas un noturības mehānisma finansēšanas nolīguma 10.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minētās atbalstāmās darbības ietvaros publicitātes un informatīvos pasākumus nodrošina atbilstoši regulas Nr. </w:t>
            </w:r>
            <w:r w:rsidR="00000000" w:rsidRPr="00000000" w:rsidDel="00000000">
              <w:rPr>
                <w:rtl w:val="0"/>
              </w:rPr>
              <w:t xml:space="preserve">2021/241</w:t>
            </w:r>
            <w:r w:rsidR="00000000" w:rsidRPr="00000000" w:rsidDel="00000000">
              <w:rPr>
                <w:rtl w:val="0"/>
              </w:rPr>
              <w:t xml:space="preserve"> 34. panta un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minētā līguma nosacījumiem, un Finanšu ministrijas vadlīnijās “Eiropas Savienības fondu 2021.-2027. gada plānošanas perioda komunikācijas un dizaina vadlīnijas”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informācijas un publicitātes pasākumi tiek īstenoti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atbalstāmās darbības ietvaros vizuālās identitātes prasības nodrošina atbilstoši regulas Nr. </w:t>
            </w:r>
            <w:r w:rsidR="00000000" w:rsidRPr="00000000" w:rsidDel="00000000">
              <w:rPr>
                <w:rtl w:val="0"/>
              </w:rPr>
              <w:t xml:space="preserve">2021/241</w:t>
            </w:r>
            <w:r w:rsidR="00000000" w:rsidRPr="00000000" w:rsidDel="00000000">
              <w:rPr>
                <w:rtl w:val="0"/>
              </w:rPr>
              <w:t xml:space="preserve"> 34. panta un līguma par projekta īstenošanu nosacījumiem, un Eiropas Komisijas un Latvijas Republikas Atveseļošanas un noturības mehānisma finansēšanas nolīguma 10.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minētās atbalstāmās darbības ietvaros publicitātes un informatīvos pasākumus nodrošina atbilstoši regulas Nr. </w:t>
            </w:r>
            <w:r w:rsidR="00000000" w:rsidRPr="00000000" w:rsidDel="00000000">
              <w:rPr>
                <w:rtl w:val="0"/>
              </w:rPr>
              <w:t xml:space="preserve">2021/241</w:t>
            </w:r>
            <w:r w:rsidR="00000000" w:rsidRPr="00000000" w:rsidDel="00000000">
              <w:rPr>
                <w:rtl w:val="0"/>
              </w:rPr>
              <w:t xml:space="preserve"> 34. panta un šo noteikumu </w:t>
            </w:r>
            <w:r w:rsidR="00000000" w:rsidRPr="00000000" w:rsidDel="00000000">
              <w:rPr>
                <w:rtl w:val="0"/>
              </w:rPr>
              <w:t xml:space="preserve">21. </w:t>
            </w:r>
            <w:r w:rsidR="00000000" w:rsidRPr="00000000" w:rsidDel="00000000">
              <w:rPr>
                <w:rtl w:val="0"/>
              </w:rPr>
              <w:t xml:space="preserve">punktu</w:t>
            </w:r>
            <w:r w:rsidR="00000000" w:rsidRPr="00000000" w:rsidDel="00000000">
              <w:rPr>
                <w:rtl w:val="0"/>
              </w:rPr>
              <w:t xml:space="preserve"> minētā līguma nosacījumiem, un Finanšu ministrijas vadlīnijās “Eiropas Savienības fondu 2021.-2027. gada plānošanas perioda komunikācijas un dizaina vadlīnijas”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investīcijas ietvaros īstenojamie projekti būtu uzskatāmi par stratēģiskas nozīmes projektiem, par kuriem būtu nepieciešami pastiprināti komunikācijas pasākumi.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īstenotie projekti nav uzskatāmi par stratēģiskās nozīmes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atbalstāmās darbības ietvaros vizuālās identitātes prasības nodrošina atbilstoši regulas Nr. </w:t>
            </w:r>
            <w:r w:rsidR="00000000" w:rsidRPr="00000000" w:rsidDel="00000000">
              <w:rPr>
                <w:rtl w:val="0"/>
              </w:rPr>
              <w:t xml:space="preserve">2021/241</w:t>
            </w:r>
            <w:r w:rsidR="00000000" w:rsidRPr="00000000" w:rsidDel="00000000">
              <w:rPr>
                <w:rtl w:val="0"/>
              </w:rPr>
              <w:t xml:space="preserve"> 34. panta un līguma par projekta īstenošanu nosacījumiem, un Eiropas Komisijas un Latvijas Republikas Atveseļošanas un noturības mehānisma finansēšanas nolīguma 10.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26.13. nodrošina ar projekta īstenošanu saistītās dokumentācijas uzglabāšanu piecus gadus pēc šo noteikumu </w:t>
            </w:r>
            <w:r w:rsidR="00000000" w:rsidRPr="00000000" w:rsidDel="00000000">
              <w:rPr>
                <w:rtl w:val="0"/>
              </w:rPr>
              <w:t xml:space="preserve">24.3.2. </w:t>
            </w:r>
            <w:r w:rsidR="00000000" w:rsidRPr="00000000" w:rsidDel="00000000">
              <w:rPr>
                <w:rtl w:val="0"/>
              </w:rPr>
              <w:t xml:space="preserve">apakšpunktā</w:t>
            </w:r>
            <w:r w:rsidR="00000000" w:rsidRPr="00000000" w:rsidDel="00000000">
              <w:rPr>
                <w:rtl w:val="0"/>
              </w:rPr>
              <w:t xml:space="preserve"> minētā noslēguma maksājuma veikšanas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tā kā labklājības nozares valsts pakalpojumu nodrošināšana uzskatāma par prerogatīvu valsts vai pašvaldības funkciju, atbalsts pasākuma ietvaros netiek uzskatīts par atbalstu saimnieciskās darbības veikšanai. Lūdzam noteikumus papildināt ar normu, kas nosaka finansējuma saņēmēja pienākumu nodrošināt uzraudzības periodā (piecus gadus pēc šo noteikumu 24.3.2. apakšpunktā minētā noslēguma maksājuma veikšanas datuma) to, ka infrastruktūrā, kurā veikti uzlabojumi, tiek veikta minētā funkcija, kā arī ar normu, kas nosaka rīcību, ja šis noteikums netiek ievērots. Vienlaikus lūdzam papildināt anotāciju ar skaidrojumu, ka piecu gadu uzraudzības periods sakrīt ar projekta ietvaros nodrošinātā tehnoloģiju, iekārtu, aprīkojuma un cita materiāltehniskā nodrošinājuma amortizācijas laiku. Gadījumā, ja tehnoloģiju, iekārtu, aprīkojuma un cita materiāltehniskā nodrošinājuma amortizācijas laiks tomēr ir ilgāks par 5 gadiem, arī uzraudzībai jābūt ilgākai, un attiecīgi tad lūdzam precizēt arī noteikumos noteikto uzraudzības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26.18., 26.19. un 29.5. apakšpunktu, kā arī 27.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nodrošina ar projekta īstenošanu saistītās dokumentācijas uzglabāšanu piecus gadus pēc 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minētā noslēguma maksājuma veikšanas datuma;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no saviem līdzekļiem sedz projekta izmaksu sadārdzinājumu un izmaksas, kas nav attiecināmas finansēšanai no Atveseļošanās fonda;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“Atveseļošanās” ar vārdu “Atveseļošanas”.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no saviem līdzekļiem sedz projekta izmaksu sadārdzinājumu un izmaksas, kas netiek segtas no Atveseļošanas fonda;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nodrošina, ka projekta izmaksas, kas radušās līdz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 līguma noslēgšanai, nepieciešamības gadījumā priekšfinansē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25.4.apakšpunktu ar atsauci uz noteikumu projekta 15.1.apakšpunktā minētajiem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nodrošina, ka projekta izmaksas, kas radušās līdz līguma par projekta īstenošanu noslēgšanai, nepieciešamības gadījumā priekšfinansē no saviem līdzekļiem, ievērojot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noteikto nosacījumu;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atsevišķu grāmatvedības uzskaiti par projekta izmaksām saskaņā ar normatīvo aktu prasībām grāmatvedības jomā un vispārpieņemtajiem grāmatvedības kārtošanas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25.8. apakšpunktā skaidrot, kur (kādos ārējos normatīvajos tiesību aktos) ietverti vispārpieņemtie grāmatvedības kārtošanas principi, vai svītrot minēto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nodrošina atsevišķu grāmatvedības uzskaiti par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nodrošina ar projekta īstenošanu saistītās dokumentācijas uzglabāšanu piecus gadus pēc 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minētā noslēguma maksājuma veikšanas datuma. Gadījumā, ja šo noteikumu </w:t>
            </w:r>
            <w:r w:rsidR="00000000" w:rsidRPr="00000000" w:rsidDel="00000000">
              <w:rPr>
                <w:rtl w:val="0"/>
              </w:rPr>
              <w:t xml:space="preserve">12.4.</w:t>
            </w:r>
            <w:r w:rsidR="00000000" w:rsidRPr="00000000" w:rsidDel="00000000">
              <w:rPr>
                <w:rtl w:val="0"/>
              </w:rPr>
              <w:t xml:space="preserve"> vai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minētās atbalstāmās darbības īstenošanai tiek piešķirts </w:t>
            </w:r>
            <w:r w:rsidR="00000000" w:rsidRPr="00000000" w:rsidDel="00000000">
              <w:rPr>
                <w:i w:val="1"/>
                <w:rtl w:val="0"/>
              </w:rPr>
              <w:t xml:space="preserve">de minimis</w:t>
            </w:r>
            <w:r w:rsidR="00000000" w:rsidRPr="00000000" w:rsidDel="00000000">
              <w:rPr>
                <w:rtl w:val="0"/>
              </w:rPr>
              <w:t xml:space="preserve"> atbalsts, ar projekta īstenošanu saistītās dokumentācijas uzglabāšanu nodrošina atbilstoši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"lai nodrošinātu, ka pasākuma ietvaros nodrošinātā vides pieejamība netiktu izmantota saimnieciskās darbības veikšanai, kas klasificējama kā komercdarbības atbalsts, noteikumu 25.13. apakšpunktā noteikts nosacījums, ka projekta pārskata periodā (projekta dzīves cikla laikā), kas atbilstoši Komisijas 2014. gada 3. marta Deleģētās regulas (ES) Nr. 480/2014 I pielikumā “15. panta 2. punktā minētie pārskata periodi” noteiktajam 10-15 gadu periodam no būves pieņemšanas ekspluatācijā vai atbilstoši kārtībai par grāmatvedības uzskaites kārtību valsts iestādēs noteiktajam pielāgojumu amortizācijas laikam, ēkā netiek uzsākta saimnieciskā darbība vai palielināta saimnieciskās darbības jauda (platības, laika vai finanšu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38. punkts nosaka dokumentu glabāšanas termiņu komercdarbības atbalsta gadījumā (10 gadus no atbalsta piešķiršanas brīža).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dokumenti par atbalsta piešķiršanu ir jāglabā visu projekta pārskata periodu (projekta dzīves cikla laiku), ja tiek pieļauta papildinošā saimnieciskā darbība, lai varētu nodrošināt papildinošās saimnieciskās darbības uzraudzību, lūdzam precizēt noteikumu 25.13.punktu tā, lai dokumentu glabāšanas nosacījums uz projektiem, kas netiktu izmantota saimnieciskās darbības veikšanai, būtu jāglabā visu projekta pārskata periodu (projekta dzīves cikla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ka anotācijā ir vēlme skaidrot projekta dzīves cikla termiņu, lūdzam precizēt minētajā anotācijas skaidrojumā atsauci uz noteikumu 25.13.punktu, jo šajā punktā tiek runāts par dokumentu glabāšanu un tad tā nav pareiza.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w:t>
            </w:r>
            <w:r w:rsidR="00000000" w:rsidRPr="00000000" w:rsidDel="00000000">
              <w:rPr>
                <w:i w:val="1"/>
                <w:rtl w:val="0"/>
              </w:rPr>
              <w:t xml:space="preserve">de minimis</w:t>
            </w:r>
            <w:r w:rsidR="00000000" w:rsidRPr="00000000" w:rsidDel="00000000">
              <w:rPr>
                <w:rtl w:val="0"/>
              </w:rPr>
              <w:t xml:space="preserve"> atbalsta regulējumu (pasakuma ietvaros vairs netiek plānots </w:t>
            </w:r>
            <w:r w:rsidR="00000000" w:rsidRPr="00000000" w:rsidDel="00000000">
              <w:rPr>
                <w:i w:val="1"/>
                <w:rtl w:val="0"/>
              </w:rPr>
              <w:t xml:space="preserve">de minimis</w:t>
            </w:r>
            <w:r w:rsidR="00000000" w:rsidRPr="00000000" w:rsidDel="00000000">
              <w:rPr>
                <w:rtl w:val="0"/>
              </w:rPr>
              <w:t xml:space="preserve"> atbalsta regulējuma piemērošana). Papilds noteikumu projekta anotācijā sniegts skaidrojums par valsts atbalsta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nodrošina ar projekta īstenošanu saistītās dokumentācijas uzglabāšanu piecus gadus pēc 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minētā noslēguma maksājuma veikšanas datuma;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nodrošina, ka atbilstoši normatīvajiem aktiem par grāmatvedības uzskaites kārtību budžeta iestādēs vides pielāgojumu amortizācijas laikā vai projekta pārskata periodā (projekta dzīves cikla laikā), kas noteikts atbilstoši Komisijas 2014. gada 3. marta Deleģētās regulas (ES) Nr. </w:t>
            </w:r>
            <w:r w:rsidR="00000000" w:rsidRPr="00000000" w:rsidDel="00000000">
              <w:rPr>
                <w:rtl w:val="0"/>
              </w:rPr>
              <w:t xml:space="preserve">480/2014</w:t>
            </w:r>
            <w:r w:rsidR="00000000" w:rsidRPr="00000000" w:rsidDel="00000000">
              <w:rPr>
                <w:rtl w:val="0"/>
              </w:rPr>
              <w:t xml:space="preserve"> I pielikumā noteiktajam, netiek uzsākta saimnieciskā darbība, kas klasificējas kā komercdarbības atbalsts vai netiek mainīta sākotnēji noteiktā saimnieciskās darbības, kas klasificējas kā komercdarbības atbalsts, jauda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programmā ir paredzēta iespēja finansējuma saņēmējam saņemt de minimis atbalstu par atbilstošas infrastruktūras izveidi objektos (vai to daļās), kas tiek izmantoti saimnieciskās darbības veikšanai, lūdzam precizēt šo punktu tā, lai nevarētu šajā punktā noteikto interpretēt kā obligātu prasību jebkuram projektu iesniedzējam, bet tikai attiecībā uz tiem, kas piesakās neatbalsta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w:t>
            </w:r>
            <w:r w:rsidR="00000000" w:rsidRPr="00000000" w:rsidDel="00000000">
              <w:rPr>
                <w:i w:val="1"/>
                <w:rtl w:val="0"/>
              </w:rPr>
              <w:t xml:space="preserve">de minimis</w:t>
            </w:r>
            <w:r w:rsidR="00000000" w:rsidRPr="00000000" w:rsidDel="00000000">
              <w:rPr>
                <w:rtl w:val="0"/>
              </w:rPr>
              <w:t xml:space="preserve"> atbalstu regulējumu (</w:t>
            </w:r>
            <w:r w:rsidR="00000000" w:rsidRPr="00000000" w:rsidDel="00000000">
              <w:rPr>
                <w:i w:val="1"/>
                <w:rtl w:val="0"/>
              </w:rPr>
              <w:t xml:space="preserve">de minimis</w:t>
            </w:r>
            <w:r w:rsidR="00000000" w:rsidRPr="00000000" w:rsidDel="00000000">
              <w:rPr>
                <w:rtl w:val="0"/>
              </w:rPr>
              <w:t xml:space="preserve"> atbalsts piešķiršana vairs netiek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ir uzskatāms par datu pārzini saskaņā ar Eiropas Parlamenta un Padomes 2016. gada 27. aprīļa Regulu (ES) Nr.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Nr. 95/46/EK attiecībā (turpmāk - regula Nr. 2016/679) uz tādu personas datu apstrādi vadības informācijas sistēmā, lai īstenotu projektu, kā arī sagatavotu un iesniegtu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nodrošina, ka atbilstoši normatīvajiem aktiem par grāmatvedības uzskaites kārtību budžeta iestādēs vides pielāgojumu amortizācijas laikā vai projekta pārskata periodā (projekta dzīves cikla laikā), kas noteikts atbilstoši Komisijas 2014. gada 3. marta Deleģētās regulas (ES) Nr. </w:t>
            </w:r>
            <w:r w:rsidR="00000000" w:rsidRPr="00000000" w:rsidDel="00000000">
              <w:rPr>
                <w:rtl w:val="0"/>
              </w:rPr>
              <w:t xml:space="preserve">480/2014</w:t>
            </w:r>
            <w:r w:rsidR="00000000" w:rsidRPr="00000000" w:rsidDel="00000000">
              <w:rPr>
                <w:rtl w:val="0"/>
              </w:rPr>
              <w:t xml:space="preserve"> I pielikumā noteiktajam, netiek uzsākta saimnieciskā darbība, kas klasificējas kā komercdarbības atbalsts vai netiek mainīta sākotnēji noteiktā saimnieciskās darbības, kas klasificējas kā komercdarbības atbalsts, jauda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saimnieciskās darbības īpatsvaru, kas klasificējas kā komercdarbības atbalsts, nevērtē jaudas - platības, laika vai finanšu izteiksmē, līdz ar to lūdzam pārskatīt terminoloģiju gan šajā, gan pārējos noteikumu punktos, kā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w:t>
            </w:r>
            <w:r w:rsidR="00000000" w:rsidRPr="00000000" w:rsidDel="00000000">
              <w:rPr>
                <w:i w:val="1"/>
                <w:rtl w:val="0"/>
              </w:rPr>
              <w:t xml:space="preserve">de minimis</w:t>
            </w:r>
            <w:r w:rsidR="00000000" w:rsidRPr="00000000" w:rsidDel="00000000">
              <w:rPr>
                <w:rtl w:val="0"/>
              </w:rPr>
              <w:t xml:space="preserve"> atbalsta regulējumu (pasakuma ietvaros vairs nav plānots sniegt de minimis atbalstu). Tāpat anotācijā sniegts pamatojums par valsts atbalsta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ir uzskatāms par datu pārzini saskaņā ar Eiropas Parlamenta un Padomes 2016. gada 27. aprīļa Regulu (ES) Nr.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Nr. 95/46/EK attiecībā (turpmāk - regula Nr. 2016/679) uz tādu personas datu apstrādi vadības informācijas sistēmā, lai īstenotu projektu, kā arī sagatavotu un iesniegtu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nodrošina, ka atbilstoši normatīvajiem aktiem par grāmatvedības uzskaites kārtību budžeta iestādēs vides pielāgojumu amortizācijas laikā vai projekta pārskata periodā (projekta dzīves cikla laikā), kas noteikts atbilstoši Komisijas 2014. gada 3. marta Deleģētās regulas (ES) Nr. </w:t>
            </w:r>
            <w:r w:rsidR="00000000" w:rsidRPr="00000000" w:rsidDel="00000000">
              <w:rPr>
                <w:rtl w:val="0"/>
              </w:rPr>
              <w:t xml:space="preserve">480/2014</w:t>
            </w:r>
            <w:r w:rsidR="00000000" w:rsidRPr="00000000" w:rsidDel="00000000">
              <w:rPr>
                <w:rtl w:val="0"/>
              </w:rPr>
              <w:t xml:space="preserve"> I pielikumā noteiktajam, netiek uzsākta saimnieciskā darbība, kas klasificējas kā komercdarbības atbalsts vai netiek mainīta sākotnēji noteiktā saimnieciskās darbības, kas klasificējas kā komercdarbības atbalsts, jauda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25.14. apakšpunktā skaidrot, vai termini "projekta dzīves cikls" un "pārskata periods" noteikumu projektā tiek lietoti kā sinonīmi, vai tiem ir atšķirīgs tvērums. Atbilstoši juridiskās tehnikas prasībām, juridiskos dokumentos nelieto sinonīmus un vienu lietu konsekventi sauc vienā un tajā pašā vārdā. Tāpat atbilstoši juridiskās tehnikas prasībām, termins ir jālieto vienā nozīmē, un tas nav aizstājams ar sinonīmiem. Pamatojoties uz iepriekš minēto, lūdzam skaidrot minēto jēdzienu tvērumu noteikumu projektā, kā arī nepieciešamības gadījumā atbilstoši precizēt noteikumu projekta 25.14. apakšpunktu, neizmantojot tajā sinonīmus.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regulējumu (pasākuma ietvaros vairs nav plānots sniegt de minimis atbalstu). Tāpat noteikumu projekta anotācija papildināta ar skaidorjumu par valsts atbalsta neesamību pasākuma ietvaros, attiecīgi nav nepieciešams nodrošināt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ir uzskatāms par datu pārzini saskaņā ar Eiropas Parlamenta un Padomes 2016. gada 27. aprīļa Regulu (ES) Nr.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Nr. 95/46/EK attiecībā (turpmāk - regula Nr. 2016/679) uz tādu personas datu apstrādi vadības informācijas sistēmā, lai īstenotu projektu, kā arī sagatavotu un iesniegtu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25.15. ja ar saimniecisku darbību nesaistīts projekts vai projekts, kas saistīts ar tādu saimniecisko darbību, kura nav kvalificējama kā komercdarbības atbalsts, ieviešanas vai uzraudzības periodā pēc tā pabeigšanas kļūst par projektu, kas saistīts ar saimniecisku darbību, kas kvalificējama kā komercdarbības atbalsts, finansējuma saņēmējs atmaksā aģentūrai saņemto Atveseļošanas fonda finansējumu proporcionāli saimnieciskās darbības jaudai (platības, laika vai finanšu izteiksmē). Saņemto Atveseļošanas fonda finansējumu atmaksā ar procentiem, kurus aprēķina no dienas, kad Atveseļošanas fonda finansējums tika izmaksāts finansējuma saņēmējam, līdz tā atgūšanas dienai, no līdzekļiem, kas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jo tas dublē šo noteikumu 39.4.punktā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uzraudzību nodrošina aģentūra sadarbībā ar normatīvajos aktos par Atveseļošanas fonda plāna īstenošanas un uzraudzības kārtību minētajām institūcijām un atbilstoši tajos noteiktajai kārtībai un veic vismaz šādas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lūdzam noteikumu projektā nedublēt Ministru kabineta 2021. gada 7. septembra noteikumos Nr. 621 "Eiropas Savienības Atveseļošanas un noturības mehānisma plāna īstenošanas un uzraudzības kārtība" ietverto regulējumu un attiecīgi svītrot noteikumu projekta 27. punktu u.c. vienības, kur dublēti minētie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07.09.2021. noteikumi Nr. 621 "Eiropas Savienības Atveseļošanas un noturības mehānisma plāna īstenošanas un uzraudzības kārtība" (turpmāk - MK noteikumi Nr. 621)  nosaka Atveseļošanas fonda īstenošanas pārvaldībā iesaistīto iestāžu pienākumus, t.sk. paredzot, ka atkarībā no finansējuma saņēmēja veida - pilna cikla uzraudzību investīcijas ieviešanai var nodrošināt vai nu nozares ministrija, vai arī CFLA. Ņemot vērā minēto, lai nodrošinātu nepārprotamību par iesaistīto institūciju funkciju izpildi, noteikumu projekts nosaka, ka konkrēti  pasākuma projekta īstenošanas pilna cikla uzraudzību (t.sk. pārbaudes) primāri nodrošinās CFLA. Līdz ar to uzskatām par nepieciešamu investīcijas reglamentējošajos noteikumos iekļaut attiecīgu tiesisko regulējumu. Citas institūcijas, kas ir minētas MK notiekumos Nr. 621, pārbaudes var veikt izlases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uzraudzību nodrošina aģentūra sadarbībā ar normatīvajos aktos par Atveseļošanas fonda plāna īstenošanas un uzraudzības kārtību minētajām institūcijām un atbilstoši tajos noteiktajai kārtībai un veic vismaz šādas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aģentūras pienākumu veikt uzraudzību attiecībā uz šo noteikumu 25.14.punktā noteikto nosacījumu ievērošanu. Gadījumā, ja aģentūra tomēr uzraudzību nenodrošinās (ņemot vērā aģentūras izteikto komentāru attiecībā uz noteikumu projekta 25.14.apakšpunktu), lūdzam norādīt institūciju, kas to veiks.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regulējumu (pasākuma ietvaros vairs nav plānots sniegt de minimis atbalstu). Papildus skaidrojam, ka noteikumu projekta anotācijā sniegts skaidrojums par valsts atbalsta neesamību pasākuma ietvaros, attiecīgi nav nepieciešams veikt tā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lai nodrošinātu informācija pieejamību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pārbaužu veikšanai, gadījumā, ja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minētais iepirkuma plāns iesniegts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noteiktajā kārtībā, piecu darbdienu laikā no saņemšanas dienas minēto informāciju nosūta Iepirkumu uzraudzības birojam;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 IUB ir paredzēta kāda rīcība vai attiecīgā informācija ir tikai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jo informācija būs pieejama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IUB saskaņā ar MK 07.09.2021. noteikumiem Nr. 621 nodrošina Atveseļošanas fonda plāna īstenošanas ietvaros veikto iepirkumu izlases veida pirmspārbaudes, minēto pārbaužu ietvaros izteikto ieteikumu ieviešanas uzraudzību, kā arī minēto pārbaužu un ieteikumu statusa ievadi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Ministrija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 sarakstā iekļauj ēkas, kas atlasītas atbilstoši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30. punkta juridisko slodzi un nepieciešamības gadījumā svītrot minēto punktu, attiecīgo informāciju ietverot noteikumu projekta anotācijā vai sniedzot atbilstošu skaidrojumu par 30. punkta piemērošanu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Informācija ietverta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Ministrija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 sarakstā iekļauj ēkas, kas atlasītas atbilstoši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tā, lai tajā ietvertās prasības pilnībā aprakstītu ministrijas pienākumos ietilpstošās darbības, lai nodrošinātu noteikumu projekta 6.1.apakšpunktā ietvertā rādītāja sasniegšanu. Vienlaikus lūdzam papildināt 30.3.apakšpunktu ar precizējumu atbilstoši AF plānā noteiktajam, ka sarakstā ir iekļautas ēkas, kurās sniedz sociālo pakalpojumu sniedzēju reģistrā reģistrētus valsts un pašvaldību sociālos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izziņas 61. punktā informācija ietverta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Ministrija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noteiktā sarakstā iekļauj ēkas, kas atlasītas atbilstoši šādām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30.punkts nosaka, ka noteikumu pielikumā noteiktā sarakstā iekļauj ēkas, kas atlasītas atbilstoši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ēkai 2020. gadā ir veikts vides pieejamības pašnovērtējums, kas iesniegts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ēkas vides pieejamības koeficients ir zemāks par 5 (attiecīgi ēkas prioritāri kārto pēc vides pieejamība koeficienta no zemākā līdz augstākam);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w:t>
            </w:r>
            <w:r w:rsidR="00000000" w:rsidRPr="00000000" w:rsidDel="00000000">
              <w:rPr>
                <w:b w:val="1"/>
                <w:rtl w:val="0"/>
              </w:rPr>
              <w:t xml:space="preserve">ēkā tiek sniegts labklājības nozares valsts pakalpojums vai pašvaldības sociālais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ēka ir valsts, pašvaldības īpašumā vai valsts, pašvaldības kapitālsabiedrības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pasākuma ietvaros plānots sniegt Atveseļošanas fonda atbalstu, lai nodrošinātu vides pieejamību ēkās, kurās sniedz labklājības nozares valsts pakalpojumus (piemēram, Nodarbinātības valsts aģentūras, Valsts sociālās apdrošināšanas aģentūras un Valsts darba inspekcijas pakalpojumus) v</w:t>
            </w:r>
            <w:r w:rsidR="00000000" w:rsidRPr="00000000" w:rsidDel="00000000">
              <w:rPr>
                <w:b w:val="1"/>
                <w:rtl w:val="0"/>
              </w:rPr>
              <w:t xml:space="preserve">ai pašvaldību sociālos pakalpojumus (t.sk. sociālā dienesta, dienas aprūpes centra, patversmes, atbalsta centra, grupu mājas (dzīvokļu) u.c. pakalpojumus)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pielikumā ir iekļauts Rīgas valstspilsēta pašvaldības objekts – Garozes ielā 15, sociālais aprūpes centrs “Pārdaugava”, kurā tiek sniegts pašvaldības ilgstošās sociālās aprūpes pakalpojums. MK noteikumos nav minēts, ka vides pielāgošanu var veikt ilgstošās sociālās aprūpes iestādēs, taču nav arī norādīts, ka nevar, jo anotācijā pie pašvaldības sociāliem pakalpojumiem ir uzskaitīti dažādi pakalpojumi, u.c. pakalpojumi vai MK noteikumu projektā 30.3. apakšpunktā noteikto, ka ēkā atbilst ja tiek sniegts labklājības nozares valsts pakalpojums vai pašvaldības sociālais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Rīgas valstspilsētas pašvaldības objekts, kurš atrodas Garozes ielā 15, ir atbilstošs MK noteikumiem un tur var plānot vides pieejamības nodrošināšanu, vai arī ja nevar, tad MK noteikumus papildināt ar punktu, ka programmas atbalsts nav domāts ēkām, kurās tiek nodrošināts ilgstošās sociālās aprūpes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 svītrojot ēkas, kurās sniedz ilgstošas sociālās aprūpes pakalpojumus. Papildus skaidrojam, ka arī Atveseļošanas fonda ietvaros pēc analoģijas ar ES fondiem nav atbalstāmas investīcijas ilgstošās sociālās aprūpes infrastruktūrā.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ēka ir valsts, pašvaldības īpašumā vai valsts, pašvaldības kapitālsabiedrības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kapitālsabiedrību īpašumā esošie nekustamie īpašumi nav valsts īpašumi (tāpat arī pašvaldību kapitālsabiedrību īpašumā esošie nekustamie īpašumi nav pašvaldību īpašumi). No noteikumu projekta nosaukuma, noteikumu projekta  6.un 11.punkta secināms, ka pasākumā var tikt iesaistītas valsts un pašvaldību īpašumā esošas ēkas, savukārt no noteikumu projekta 30.4.apakšpunkta izriet, ka sarakstā iekļauj arī ēkas, kas ir valsts vai pašvaldības kapitālsabiedrības īpašumā, līdz ar to lūdzam izvērtēt noteikumu projektā ietverto regulējumu un skaidrot, vai pasākums tiks attiecināts tikai uz publiskas personas ēkām (valsts vai pašvaldību īpašumā esošām ēkām) vai arī tas tiks attiecināts arī uz publisku personu kapitālsabiedrību ēkām (valsts vai pašvaldības kapitālsabiedrību īpašumā esošas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atbalsttiesīgo ēku saraksts, svītrojot ēkas, kuras nav uzskatāmas par valsts vai pašvaldības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ēka ir valsts, pašvaldības īpašumā vai valsts, pašvaldības kapitālsabiedrības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30.4.apakšpunktu, ka īpašumtiesībām jābūt nostiprinātām Valsts vienotajā datorizētajā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izziņas 61. punktā informācija ietverta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 </w:t>
            </w:r>
            <w:r w:rsidR="00000000" w:rsidRPr="00000000" w:rsidDel="00000000">
              <w:rPr>
                <w:i w:val="1"/>
                <w:rtl w:val="0"/>
              </w:rPr>
              <w:t xml:space="preserve">de minimis</w:t>
            </w:r>
            <w:r w:rsidR="00000000" w:rsidRPr="00000000" w:rsidDel="00000000">
              <w:rPr>
                <w:rtl w:val="0"/>
              </w:rPr>
              <w:t xml:space="preserve">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ar regulu 1407/2013 ir piemērojams visu nozaru uzņēmumiem piešķirtam atbalstam, izņemot regulas 1407/2013 1.panta 1.punktā minētās darbības jomas.  Savukārt, ja de minimis atbalsta saņēmējs vienlaikus darbojas regulas 1407/2013 1.panta 1.punkta a), b) vai c) apakšpunktā minētajās nozarēs un veic citas darbības, kas ietilpst regulas Nr. 1407/2013 darbības jomā, de minimis atbalsta saņēmējs nodrošina šo nozaru darbību vai izmaksu nodalīšanu saskaņā ar regulas Nr. 1407/2013 1. panta 2. punktu. Ievērojot minēto, lūdzam precizēt MK noteikumu projektu, nodrošinot atbilstību regulai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w:t>
            </w:r>
            <w:r w:rsidR="00000000" w:rsidRPr="00000000" w:rsidDel="00000000">
              <w:rPr>
                <w:i w:val="1"/>
                <w:rtl w:val="0"/>
              </w:rPr>
              <w:t xml:space="preserve">de minimis</w:t>
            </w:r>
            <w:r w:rsidR="00000000" w:rsidRPr="00000000" w:rsidDel="00000000">
              <w:rPr>
                <w:rtl w:val="0"/>
              </w:rPr>
              <w:t xml:space="preserve"> atbalstra regulējumu (</w:t>
            </w:r>
            <w:r w:rsidR="00000000" w:rsidRPr="00000000" w:rsidDel="00000000">
              <w:rPr>
                <w:i w:val="1"/>
                <w:rtl w:val="0"/>
              </w:rPr>
              <w:t xml:space="preserve">de minimis</w:t>
            </w:r>
            <w:r w:rsidR="00000000" w:rsidRPr="00000000" w:rsidDel="00000000">
              <w:rPr>
                <w:rtl w:val="0"/>
              </w:rPr>
              <w:t xml:space="preserve">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minēto atbalstāmo darbību īsteno ēkā, kurā tiek veikta saimnieciskā darbība, kas kvalificējama kā komercdarbības atbalsts, tad atbalstu minētās atbalstāmās darbības īstenošanai finansējuma saņēmējs var saņemt kā </w:t>
            </w:r>
            <w:r w:rsidR="00000000" w:rsidRPr="00000000" w:rsidDel="00000000">
              <w:rPr>
                <w:i w:val="1"/>
                <w:rtl w:val="0"/>
              </w:rPr>
              <w:t xml:space="preserve">de minimis</w:t>
            </w:r>
            <w:r w:rsidR="00000000" w:rsidRPr="00000000" w:rsidDel="00000000">
              <w:rPr>
                <w:rtl w:val="0"/>
              </w:rPr>
              <w:t xml:space="preserve"> atbalstu. </w:t>
            </w:r>
            <w:r w:rsidR="00000000" w:rsidRPr="00000000" w:rsidDel="00000000">
              <w:rPr>
                <w:i w:val="1"/>
                <w:rtl w:val="0"/>
              </w:rPr>
              <w:t xml:space="preserve">De minimis</w:t>
            </w:r>
            <w:r w:rsidR="00000000" w:rsidRPr="00000000" w:rsidDel="00000000">
              <w:rPr>
                <w:rtl w:val="0"/>
              </w:rPr>
              <w:t xml:space="preserve"> atbalstu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minims</w:t>
            </w:r>
            <w:r w:rsidR="00000000" w:rsidRPr="00000000" w:rsidDel="00000000">
              <w:rPr>
                <w:rtl w:val="0"/>
              </w:rPr>
              <w:t xml:space="preserve"> atbalsta uzskaites un piešķiršanas kārtību. </w:t>
            </w:r>
            <w:r w:rsidR="00000000" w:rsidRPr="00000000" w:rsidDel="00000000">
              <w:rPr>
                <w:i w:val="1"/>
                <w:rtl w:val="0"/>
              </w:rPr>
              <w:t xml:space="preserve">De minimis</w:t>
            </w:r>
            <w:r w:rsidR="00000000" w:rsidRPr="00000000" w:rsidDel="00000000">
              <w:rPr>
                <w:rtl w:val="0"/>
              </w:rPr>
              <w:t xml:space="preserve"> atbalsta apmēru aprēķina proporcionāli ēkā veiktās saimnieciskās darbības jaudai (platības, laika vai finanšu izteiksmē), kas klasificējas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punktā minētie nosacījumi ir attiecināmi uz visu projektu, nevis tikai tā daļu, lūdzam precizēt šo punktu, dodot atsauci uz šo noteikumu 12.punktu, nevis šo noteikumu 12.4. un 12.6. apakšpunktiem. Attiecīgi lūdzam precizēt arī šo noteikumu citus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minēto atbalstāmo darbību īsteno ēkā, kurā tiek veikta saimnieciskā darbība, kas kvalificējama kā komercdarbības atbalsts, tad atbalstu minētās atbalstāmās darbības īstenošanai finansējuma saņēmējs var saņemt kā </w:t>
            </w:r>
            <w:r w:rsidR="00000000" w:rsidRPr="00000000" w:rsidDel="00000000">
              <w:rPr>
                <w:i w:val="1"/>
                <w:rtl w:val="0"/>
              </w:rPr>
              <w:t xml:space="preserve">de minimis</w:t>
            </w:r>
            <w:r w:rsidR="00000000" w:rsidRPr="00000000" w:rsidDel="00000000">
              <w:rPr>
                <w:rtl w:val="0"/>
              </w:rPr>
              <w:t xml:space="preserve"> atbalstu. </w:t>
            </w:r>
            <w:r w:rsidR="00000000" w:rsidRPr="00000000" w:rsidDel="00000000">
              <w:rPr>
                <w:i w:val="1"/>
                <w:rtl w:val="0"/>
              </w:rPr>
              <w:t xml:space="preserve">De minimis</w:t>
            </w:r>
            <w:r w:rsidR="00000000" w:rsidRPr="00000000" w:rsidDel="00000000">
              <w:rPr>
                <w:rtl w:val="0"/>
              </w:rPr>
              <w:t xml:space="preserve"> atbalstu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minims</w:t>
            </w:r>
            <w:r w:rsidR="00000000" w:rsidRPr="00000000" w:rsidDel="00000000">
              <w:rPr>
                <w:rtl w:val="0"/>
              </w:rPr>
              <w:t xml:space="preserve"> atbalsta uzskaites un piešķiršanas kārtību. </w:t>
            </w:r>
            <w:r w:rsidR="00000000" w:rsidRPr="00000000" w:rsidDel="00000000">
              <w:rPr>
                <w:i w:val="1"/>
                <w:rtl w:val="0"/>
              </w:rPr>
              <w:t xml:space="preserve">De minimis</w:t>
            </w:r>
            <w:r w:rsidR="00000000" w:rsidRPr="00000000" w:rsidDel="00000000">
              <w:rPr>
                <w:rtl w:val="0"/>
              </w:rPr>
              <w:t xml:space="preserve"> atbalsta apmēru aprēķina proporcionāli ēkā veiktās saimnieciskās darbības jaudai (platības, laika vai finanšu izteiksmē), kas klasificējas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 punktu, saskaņā ar noteikumu Nr. 108 137. punktu nodrošinot, ka minētajā punktā ietverta korekta un aktuāla atsauce uz normatīvajiem aktiem noteiktā jomā un proti, uz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šo noteikumu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minēto atbalstāmo darbību īsteno ēkā, kurā tiek veikta saimnieciskā darbība, kas kvalificējama kā komercdarbības atbalsts, tad atbalstu minētās atbalstāmās darbības īstenošanai finansējuma saņēmējs var saņemt kā </w:t>
            </w:r>
            <w:r w:rsidR="00000000" w:rsidRPr="00000000" w:rsidDel="00000000">
              <w:rPr>
                <w:i w:val="1"/>
                <w:rtl w:val="0"/>
              </w:rPr>
              <w:t xml:space="preserve">de minimis</w:t>
            </w:r>
            <w:r w:rsidR="00000000" w:rsidRPr="00000000" w:rsidDel="00000000">
              <w:rPr>
                <w:rtl w:val="0"/>
              </w:rPr>
              <w:t xml:space="preserve"> atbalstu. </w:t>
            </w:r>
            <w:r w:rsidR="00000000" w:rsidRPr="00000000" w:rsidDel="00000000">
              <w:rPr>
                <w:i w:val="1"/>
                <w:rtl w:val="0"/>
              </w:rPr>
              <w:t xml:space="preserve">De minimis</w:t>
            </w:r>
            <w:r w:rsidR="00000000" w:rsidRPr="00000000" w:rsidDel="00000000">
              <w:rPr>
                <w:rtl w:val="0"/>
              </w:rPr>
              <w:t xml:space="preserve"> atbalstu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minims</w:t>
            </w:r>
            <w:r w:rsidR="00000000" w:rsidRPr="00000000" w:rsidDel="00000000">
              <w:rPr>
                <w:rtl w:val="0"/>
              </w:rPr>
              <w:t xml:space="preserve"> atbalsta uzskaites un piešķiršanas kārtību. </w:t>
            </w:r>
            <w:r w:rsidR="00000000" w:rsidRPr="00000000" w:rsidDel="00000000">
              <w:rPr>
                <w:i w:val="1"/>
                <w:rtl w:val="0"/>
              </w:rPr>
              <w:t xml:space="preserve">De minimis</w:t>
            </w:r>
            <w:r w:rsidR="00000000" w:rsidRPr="00000000" w:rsidDel="00000000">
              <w:rPr>
                <w:rtl w:val="0"/>
              </w:rPr>
              <w:t xml:space="preserve"> atbalsta apmēru aprēķina proporcionāli ēkā veiktās saimnieciskās darbības jaudai (platības, laika vai finanšu izteiksmē), kas klasificējas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6. panta 1. punktu, atsaucoties uz minēto regulu noteikumu projektā, lūdzam atsaucē norādīt arī šīs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35.3.1. likumam “</w:t>
            </w:r>
            <w:r w:rsidR="00000000" w:rsidRPr="00000000" w:rsidDel="00000000">
              <w:rPr>
                <w:rtl w:val="0"/>
              </w:rPr>
              <w:t xml:space="preserve">Par palīdzību dzīvokļa jautājumu risināšanā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pasākumi pašvaldībai saskaņā ar likuma "Par palīdzību dzīvokļa jautājumu risināšanā"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 ir atbalsts saimnieciskās darbības veikšanai un jāpiemēro attiecīgais komercdarbības atbalsta regulējums, lūdzam šo punktu papildināt ar palīgteikumu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Pieņemot lēmumu par </w:t>
            </w:r>
            <w:r w:rsidR="00000000" w:rsidRPr="00000000" w:rsidDel="00000000">
              <w:rPr>
                <w:i w:val="1"/>
                <w:rtl w:val="0"/>
              </w:rPr>
              <w:t xml:space="preserve">de minimis</w:t>
            </w:r>
            <w:r w:rsidR="00000000" w:rsidRPr="00000000" w:rsidDel="00000000">
              <w:rPr>
                <w:rtl w:val="0"/>
              </w:rPr>
              <w:t xml:space="preserve"> atbalsta piešķiršanu šo noteikumu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minētās atbalstāmās darbības īstenošanai, aģentūra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investīcijas 3.1.2.1.i. ietvaros ir plānota ierobežota projektu iesniegumu atlase, aģentūra neveiks de minimis atbalsta piešķiršanu. Lūdzam atbilstošā redakcijā izteikt šo Ministru kabineta noteikuma punktus par de minimis atbalsta piešķiršanu un uzraudzīšanu.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lēmumu par </w:t>
            </w:r>
            <w:r w:rsidR="00000000" w:rsidRPr="00000000" w:rsidDel="00000000">
              <w:rPr>
                <w:i w:val="1"/>
                <w:rtl w:val="0"/>
              </w:rPr>
              <w:t xml:space="preserve">de minimis</w:t>
            </w:r>
            <w:r w:rsidR="00000000" w:rsidRPr="00000000" w:rsidDel="00000000">
              <w:rPr>
                <w:rtl w:val="0"/>
              </w:rPr>
              <w:t xml:space="preserve"> atbalsta piešķiršanu var pieņemt saskaņā ar regulas Nr. </w:t>
            </w:r>
            <w:r w:rsidR="00000000" w:rsidRPr="00000000" w:rsidDel="00000000">
              <w:rPr>
                <w:rtl w:val="0"/>
              </w:rPr>
              <w:t xml:space="preserve">1407/2013</w:t>
            </w:r>
            <w:r w:rsidR="00000000" w:rsidRPr="00000000" w:rsidDel="00000000">
              <w:rPr>
                <w:rtl w:val="0"/>
              </w:rPr>
              <w:t xml:space="preserve"> 7. panta 4. punktu un 8.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skaidri nosakot, ka lēmumu par de minimis atbalsta piešķiršanu var pieņemt līdz regulas Nr. 1407/2013 7. panta 4. punktā un 8. pantā minētajam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w:t>
            </w:r>
            <w:r w:rsidR="00000000" w:rsidRPr="00000000" w:rsidDel="00000000">
              <w:rPr>
                <w:i w:val="1"/>
                <w:rtl w:val="0"/>
              </w:rPr>
              <w:t xml:space="preserve">de minimis</w:t>
            </w:r>
            <w:r w:rsidR="00000000" w:rsidRPr="00000000" w:rsidDel="00000000">
              <w:rPr>
                <w:rtl w:val="0"/>
              </w:rPr>
              <w:t xml:space="preserve"> atbalstu nepiešķir, ja, sniedzot </w:t>
            </w:r>
            <w:r w:rsidR="00000000" w:rsidRPr="00000000" w:rsidDel="00000000">
              <w:rPr>
                <w:i w:val="1"/>
                <w:rtl w:val="0"/>
              </w:rPr>
              <w:t xml:space="preserve">de minimis</w:t>
            </w:r>
            <w:r w:rsidR="00000000" w:rsidRPr="00000000" w:rsidDel="00000000">
              <w:rPr>
                <w:rtl w:val="0"/>
              </w:rPr>
              <w:t xml:space="preserve"> atbalstu saskaņā ar regulu Nr. </w:t>
            </w:r>
            <w:r w:rsidR="00000000" w:rsidRPr="00000000" w:rsidDel="00000000">
              <w:rPr>
                <w:rtl w:val="0"/>
              </w:rPr>
              <w:t xml:space="preserve">1407/2013</w:t>
            </w:r>
            <w:r w:rsidR="00000000" w:rsidRPr="00000000" w:rsidDel="00000000">
              <w:rPr>
                <w:rtl w:val="0"/>
              </w:rPr>
              <w:t xml:space="preserve"> , finansējuma saņēmējam ar tiesas spriedumu ir pasludināts maksātnespējas process, ar tiesas spriedumu tiek īstenots tiesiskās aizsardzības process vai ar tiesas lēmumu tiek īstenots ārpustiesas tiesiskās aizsardzības process, tā saimnieciskā darbība ir izbeigta vai tas atbilst normatīvajos aktos maksātnespējas jomā noteiktajiem kritērijiem, lai tam pēc kreditoru pieprasījuma piemērotu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37.3. apakšpunktu, nodrošinot, ka attiecīgais regulējums ir skaidrs un Maksātnespējas likumam atbilstošs. Proti, norādām, ka ārpustiesas tiesiskās aizsardzības process ir daļa no tiesiskās aizsardzības procesa, kādēļ tas nav jānorāda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lēmums par </w:t>
            </w:r>
            <w:r w:rsidR="00000000" w:rsidRPr="00000000" w:rsidDel="00000000">
              <w:rPr>
                <w:i w:val="1"/>
                <w:rtl w:val="0"/>
              </w:rPr>
              <w:t xml:space="preserve">de minimis</w:t>
            </w:r>
            <w:r w:rsidR="00000000" w:rsidRPr="00000000" w:rsidDel="00000000">
              <w:rPr>
                <w:rtl w:val="0"/>
              </w:rPr>
              <w:t xml:space="preserve"> atbalsta piešķiršanu saskaņā ar regulu Nr. </w:t>
            </w:r>
            <w:r w:rsidR="00000000" w:rsidRPr="00000000" w:rsidDel="00000000">
              <w:rPr>
                <w:rtl w:val="0"/>
              </w:rPr>
              <w:t xml:space="preserve">1407/2013</w:t>
            </w:r>
            <w:r w:rsidR="00000000" w:rsidRPr="00000000" w:rsidDel="00000000">
              <w:rPr>
                <w:rtl w:val="0"/>
              </w:rPr>
              <w:t xml:space="preserve"> netiek pieņemts pēc tam, kad minētā regula zaudēja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3.3. apakšpunktu lūdzam noteikumu projekta 37.4. apakšpunktā nedublēt noteikumu projekta 34. punkta un 37.1. apakšpunkta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ievērojot regulas Nr. </w:t>
            </w:r>
            <w:r w:rsidR="00000000" w:rsidRPr="00000000" w:rsidDel="00000000">
              <w:rPr>
                <w:rtl w:val="0"/>
              </w:rPr>
              <w:t xml:space="preserve">1407/2013</w:t>
            </w:r>
            <w:r w:rsidR="00000000" w:rsidRPr="00000000" w:rsidDel="00000000">
              <w:rPr>
                <w:rtl w:val="0"/>
              </w:rPr>
              <w:t xml:space="preserve"> 5. panta 1. un 2. punkta nosacījumus, pasākuma ietvaros piešķirto </w:t>
            </w:r>
            <w:r w:rsidR="00000000" w:rsidRPr="00000000" w:rsidDel="00000000">
              <w:rPr>
                <w:i w:val="1"/>
                <w:rtl w:val="0"/>
              </w:rPr>
              <w:t xml:space="preserve">de minimis</w:t>
            </w:r>
            <w:r w:rsidR="00000000" w:rsidRPr="00000000" w:rsidDel="00000000">
              <w:rPr>
                <w:rtl w:val="0"/>
              </w:rPr>
              <w:t xml:space="preserve"> atbalstu drīkst apvienot (kumulēt) ar citu </w:t>
            </w:r>
            <w:r w:rsidR="00000000" w:rsidRPr="00000000" w:rsidDel="00000000">
              <w:rPr>
                <w:i w:val="1"/>
                <w:rtl w:val="0"/>
              </w:rPr>
              <w:t xml:space="preserve">de minimis</w:t>
            </w:r>
            <w:r w:rsidR="00000000" w:rsidRPr="00000000" w:rsidDel="00000000">
              <w:rPr>
                <w:rtl w:val="0"/>
              </w:rPr>
              <w:t xml:space="preserve"> atbalstu līdz regulas Nr. </w:t>
            </w:r>
            <w:r w:rsidR="00000000" w:rsidRPr="00000000" w:rsidDel="00000000">
              <w:rPr>
                <w:rtl w:val="0"/>
              </w:rPr>
              <w:t xml:space="preserve">1407/2013</w:t>
            </w:r>
            <w:r w:rsidR="00000000" w:rsidRPr="00000000" w:rsidDel="00000000">
              <w:rPr>
                <w:rtl w:val="0"/>
              </w:rPr>
              <w:t xml:space="preserve"> 3. panta 2. punktā noteiktajam robežlielumam, ka arī drīkst apvienot (kumulēt) ar citu valsts atbalstu vienu un to pašu attiecināmo izmaksu segšanai, ja kumulācijas rezultātā netiek pārsniegta attiecīgā maksimālā valsts atbalsta intensitāte vai atbalsta summa, kas noteikta valsts atbalsta programmā, komercdarbības atbalsta projektā vai Eiropas Komisijas lēmumā. Šādā gadījumā finansējuma saņēmējs iesniedz visu informāciju par plānoto un piešķirto valsts atbalstu par tām pašām attiecināmajām izmaksām, norādot valsts atbalsta piešķiršanas datumu, atbalsta sniedzēju, atbalsta pasākumu, kā arī plānoto vai piešķirto komercdarbības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39.1. apakšpunkta un 39.2. apakšpunkta neizriet, vai ar atbalsta kumulāciju un apvienošanu saprotams viens un tas pats. Attiecīgā gadījumā lūdzam nodrošināt konsekventu terminoloģiju. Norādām, ka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ja tiek konstatēti regulas Nr. </w:t>
            </w:r>
            <w:r w:rsidR="00000000" w:rsidRPr="00000000" w:rsidDel="00000000">
              <w:rPr>
                <w:rtl w:val="0"/>
              </w:rPr>
              <w:t xml:space="preserve">1407/2013</w:t>
            </w:r>
            <w:r w:rsidR="00000000" w:rsidRPr="00000000" w:rsidDel="00000000">
              <w:rPr>
                <w:rtl w:val="0"/>
              </w:rPr>
              <w:t xml:space="preserve"> prasību pārkāpumi, atmaksā aģentūrai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regulu Nr. </w:t>
            </w:r>
            <w:r w:rsidR="00000000" w:rsidRPr="00000000" w:rsidDel="00000000">
              <w:rPr>
                <w:rtl w:val="0"/>
              </w:rPr>
              <w:t xml:space="preserve">1407/2013</w:t>
            </w:r>
            <w:r w:rsidR="00000000" w:rsidRPr="00000000" w:rsidDel="00000000">
              <w:rPr>
                <w:rtl w:val="0"/>
              </w:rPr>
              <w:t xml:space="preserve">, kopā ar procentiem, kurus aprēķina no dienas, kad </w:t>
            </w:r>
            <w:r w:rsidR="00000000" w:rsidRPr="00000000" w:rsidDel="00000000">
              <w:rPr>
                <w:i w:val="1"/>
                <w:rtl w:val="0"/>
              </w:rPr>
              <w:t xml:space="preserve">de minimis</w:t>
            </w:r>
            <w:r w:rsidR="00000000" w:rsidRPr="00000000" w:rsidDel="00000000">
              <w:rPr>
                <w:rtl w:val="0"/>
              </w:rPr>
              <w:t xml:space="preserve"> atbalsts tika izmaksāts finansējuma saņēmējam, līdz tā atgūšanas dienai, no līdzekļiem, kas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ir ietvertas arī komercdarbības atbalstu izslēdzošās normas, lūdzam šo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ja tiek pārkāptas šajos noteikumos noteiktās komercdarbības atbalsta kontroles normas, tostarp nosacījumi, kas izriet no Komisijas regulas Nr.1407/2013, finansējuma saņēmējam ir pienākums atmaksāt aģentūrai visu projekta ietvaros saņemto nelikumīgo komercdarbības atbalstu vai de minimis atbalstu kopā ar procentiem, kurus aprēķina no dienas, kad de minimis atbalsts tika izmaksāts finansējuma saņēmējam, līdz tā atgūšanas dienai,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ja tiek konstatēti regulas Nr. </w:t>
            </w:r>
            <w:r w:rsidR="00000000" w:rsidRPr="00000000" w:rsidDel="00000000">
              <w:rPr>
                <w:rtl w:val="0"/>
              </w:rPr>
              <w:t xml:space="preserve">1407/2013</w:t>
            </w:r>
            <w:r w:rsidR="00000000" w:rsidRPr="00000000" w:rsidDel="00000000">
              <w:rPr>
                <w:rtl w:val="0"/>
              </w:rPr>
              <w:t xml:space="preserve"> prasību pārkāpumi, atmaksā aģentūrai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regulu Nr. </w:t>
            </w:r>
            <w:r w:rsidR="00000000" w:rsidRPr="00000000" w:rsidDel="00000000">
              <w:rPr>
                <w:rtl w:val="0"/>
              </w:rPr>
              <w:t xml:space="preserve">1407/2013</w:t>
            </w:r>
            <w:r w:rsidR="00000000" w:rsidRPr="00000000" w:rsidDel="00000000">
              <w:rPr>
                <w:rtl w:val="0"/>
              </w:rPr>
              <w:t xml:space="preserve">, kopā ar procentiem, kurus aprēķina no dienas, kad </w:t>
            </w:r>
            <w:r w:rsidR="00000000" w:rsidRPr="00000000" w:rsidDel="00000000">
              <w:rPr>
                <w:i w:val="1"/>
                <w:rtl w:val="0"/>
              </w:rPr>
              <w:t xml:space="preserve">de minimis</w:t>
            </w:r>
            <w:r w:rsidR="00000000" w:rsidRPr="00000000" w:rsidDel="00000000">
              <w:rPr>
                <w:rtl w:val="0"/>
              </w:rPr>
              <w:t xml:space="preserve"> atbalsts tika izmaksāts finansējuma saņēmējam, līdz tā atgūšanas dienai, no līdzekļiem, kas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lūdzam noteikumu projekta 39.3. apakšpunktā nepārrakstīt Komercdarbības atbalsta kontroles likuma IV vai V nodaļas normas, tādējādi izvairoties no minētā likuma prasību (procentu aprēķināšanas kārtība u.c.) dublēšanas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Par </w:t>
            </w:r>
            <w:r w:rsidR="00000000" w:rsidRPr="00000000" w:rsidDel="00000000">
              <w:rPr>
                <w:i w:val="1"/>
                <w:rtl w:val="0"/>
              </w:rPr>
              <w:t xml:space="preserve">de minimis</w:t>
            </w:r>
            <w:r w:rsidR="00000000" w:rsidRPr="00000000" w:rsidDel="00000000">
              <w:rPr>
                <w:rtl w:val="0"/>
              </w:rPr>
              <w:t xml:space="preserve"> atbalsta piešķiršanas dienu uzskatāma diena, kad aģentūra atbilstoši šo noteikumu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noteiktajam apstiprina projekta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19.4. apakšpunkts neparedz projekta veidlapas apstiprināšanu, tai skaitā nosacījumus attiecīgai apstiprināšanai. Attiecīgi lūdzam atbilstoši precizēt minēto apakšpunktu, nepieciešamības gadījumā precizējot arī noteikumu projekta 40. punktu.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Aģentūras lēmumu par finansējuma saņēmēja atbilstību </w:t>
            </w:r>
            <w:r w:rsidR="00000000" w:rsidRPr="00000000" w:rsidDel="00000000">
              <w:rPr>
                <w:i w:val="1"/>
                <w:rtl w:val="0"/>
              </w:rPr>
              <w:t xml:space="preserve">de minimis</w:t>
            </w:r>
            <w:r w:rsidR="00000000" w:rsidRPr="00000000" w:rsidDel="00000000">
              <w:rPr>
                <w:rtl w:val="0"/>
              </w:rPr>
              <w:t xml:space="preserve"> atbalsta nosacījumiem, finansējuma saņēmējs var apstrīdēt Finanšu ministrijā viena mēneša laikā no lēmuma spēkā stāšanās dienas. Finanšu ministrijas izdoto lēmumu var pārsūdzēt Administratīvā rajona tiesa.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 punktu, nedublējot tajā Administratīvā procesa likuma 79. panta pirmajā daļā ietverto administratīvā akta pārsūdzēšanas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noteikumu 35.4.punktā minēto, ka pieļaujama ir papildinošas saimnieciskās darbības veikšana vai parasto papildpakalpojumu sniegšana noteiktā limitā, lūdzam anotācijas sadaļu Komercdarbības atbalsts precizēt un papildināt ar skaidrojumu, kas saprotams ar šīm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 Attiecīgī precizējumi veikti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anotācijas sadaļu ar noteikumu punktu izvērtējumu atbilstoši regulas Nr.1407/2014 nosacījumiem. Vienlaikus lūdzam pie šo noteikumu 37.3.punkta izvērtējuma norādīt, ka tiek ieviestas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atbalstra regulējumu (de minimis atbalsta piešķiršana vairs nav plānota). Attiecīgī precizējumi veikti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2. un 2.1. punktos būtu jānorāda Atveseļošanas fonda finansējums pasākuma īstenošanai sadalījumā pa gadiem kopā ar pievienotās vērtības nodokli (turpmāk – PVN) un attiecīgi punktos 3., 3.1., 5. un 5.1. jānorāda PVN summas sadalījumā pa gadiem. Ierosinām norādīt maksimāli iespējamo PVN apjomu, aprēķinot to no visas finansējuma summas, jo aprēķinos ietvertais pašvaldību īpašumā esošo ēku īpatsvars var mainīties, ņemot vērā Anotācijas I sadaļas 1.3. apakšpunktā sniegto informāciju (Pielikumā noteiktas 68 ēkas, nevis 63 ēkas, lai nepieciešamības gadījumā (piemēram, ja kādas ēkas īpašnieks atsakās no vides pieejamības nodrošināšanas) varētu nodrošināt citas ēkas vides pieejamību, negrozot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Atveseļošanas fonda finansējumu pasākuma īstenošanai un tā procentuālo sadalījumu iesakām atspoguļot 6.1.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6.2. sadaļa gan ņemot vērā 6.1. sadaļā norādīto, gan maksimāli pieļaujamo PVN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aprēķināts maksimāli pieļaujamais PVN apjoms, iesakām sadaļu “Cita informācija” papildināt ar norādi, ka provizoriski tiek noteikts maksimāli pieļaujamais PVN apjoms, kas var tikt precizēts investīciju projektu noslēgto līgumu un veikto iepirkumu procedūru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lūdzam papildināt noteikumu projekta anotācijas 5. sadaļu ar informāciju par Eiropas Savienības regulu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Eiropas Parlamenta un Padomes 2021. gada 12. februāra Regulas (ES) Nr. 2021/241, ar ko izveido Atveseļošanas un noturības mehānismu 5. panta 2. punktā un 22. panta 1. punktā ietverto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regulas (ES) Nr. 1407/2013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projekta īstenotājas var būt arī pašvaldības, lūdzam anotācijas 3.sadaļas 2.3. un  3.3.apakšpunktā norādīt izdevumu apmēru, kas pašvaldībām radīsies saistībā ar PVN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par atskaites punkta “to valsts un pašvaldību ēku izvēle, kurās jāveic vides pielāgojumi” sasniegšanas brīdi, norādot noteikumu projekta spēkā stāšanās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informāciju par ministrijas rīcību gadījumā, ja tiks identificētas novirzes atskaites punktu sasniegšanā, ņemot vērā, ka AF Darbības kārtība neapraksta šo nacionālo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“Nenodarīt būtisku kaitējumu” (NBK) ar informāciju, vai anotācijā minētie NBK piemērošanas nosacījumi paredz ievērot nacionālo normatīvo regulējumu (ja iespējams, norādot kurus normatīvos aktus), vai arī paredz papildus specifiskus nosacījumus. Gadījumā, ja tiek paredzēti papildus specifiski nosacījumi, lūdzam tos iekļaut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kur 1.3.apakšpunktā nav jānorāda pašvaldību budžetu ieņēmumi, jo viss Atveseļošanās fonda finansējums ir jāuzrāda 1.1.apakšpunktā (pa gadiem). Anotācijas 3.sadaļas 2.3.apakšpunktā ir jāuzrāda tikai pašvaldību budžetu izdevumi, t.i., tikai PVN izmaksas, tādēļ nepieciešams precizēt 2.3.apakšpunktu. Ņemot vērā iepriekš minēto, lūdzam precizēt arī anotācijas 3.sadaļas 5.3.apakšpunktu.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VSIA “Šampētera nams” un valsts akciju sabiedrība “Valsts nekustamie īpašumi” neatbilst MK 22.03.2022. protokola Nr.17 34.§ 9.punktā norādītajiem nosacījumiem attiecībā uz pievienotās vērtības nodokļa (turpmāk – PVN) finansēšanu no valsts budžeta līdzekļiem, taču MK sēdes protokollēmuma projekta 3.punktā un noteikumu projekta 18.3.apakšpunktā paredzēts projekta īstenošanai nepieciešamo PVN ne vairāk kā 326 340 euro apmērā segt no valsts budžeta līdzekļiem, lūdzam precizēt anotāciju, papildinot to ar pamatojumu, kāpēc PVN segšanai ir nepieciešami valsts budžeta līdzekļi. Vienlaikus lūdzam papildināt anotācijas 3.sadaļas apakšsadaļu “Cita informācija”, norādot, kā tiks pieprasīti nepieciešamie valsts budžeta līdzekļi PVN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 2.1. un attiecīgi 3., 3.1.apakšpunktā norādīto nepieciešamā valsts budžeta finansējuma apmēru 2022., 2023., 2024.gadam (3., 5. un 7.ailē), ņemot vērā, ka norādītā finansiālā ietekme uz valsts budžetu (326 666 euro) neatbilst anotācijas 3.sadaļas 6.punktā noradītam nepieciešamajam valsts budžeta finansējumam 326 340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norādīto izmaksu aprēķinu, ņemot vērā, ka, matemātiski aprēķinot norādīto plānoto izdevumu (projekta vadības, vides pieejamības nodrošināšanas un vizuālās identitātes izmaksas) pozīciju kopsummu, tā neatbilst 3.sadaļas 6.punkta norādītajam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ēku vides pieejamības nodrošināšanai nepieciešamā finansējuma aprēķinu, jo minēto formulu kopsummas neatbilst 6.punktā norādītajam (aprēķins 111 000 euro * 14 ēkas neveido 1 555 556 euro un aprēķins 111 000 euro * 49 ēkas neveido 5 444 444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izvērstu un izsekojamu vienotās likmes aprēķina pamatojumu attiecībā par projekta vadības personāla izmaksu vienotās likmes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"Finanšu ministrijas īpašuma pārvaldīšana saskaņā ar MK 1997. gada 6. augusta rīkojumu Nr. 415 “Par valsts nekustamajiem īpašumiem” nodota VAS “Valsts nekustamie īpašumi”". Ņemot vērā, ka ar iepriekš minēto Ministru kabineta rīkojumu ir saglabāti valsts īpašumā un nodoti Latvijas Bankas valdījumā vairāki nekustamie īpašumi, minētā atsauce nav korekta. Līdz ar to lūdzam svītrot iepriekš minēto teikumu un tā vietā iekļaut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 Finanšu ministriju un VAS “Valsts nekustamie īpašumi” 2020.gada 18.martā noslēgto Nekustamā īpašuma portfeļa pārvaldīšanas līgumu Nr.IEN/2020/364 Finanšu ministrijas valdījumā esošo nekustamo īpašumu pārvaldīšanu nodrošina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protokollēmuma 1.punktu, aizstājot vārdus “Pieņemt zināšanai iensiegto noteikumu projektu” ar vārdiem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papildināt protokollēmuma projektu ar punktu, kas nosaka uzdevumu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3.1.2.1.i. investīcijas “Publisko pakalpojumu un nodarbinātības pieejamības veicināšanas pasākumi cilvēkiem ar funkcionāliem traucējumiem” pirmās kārtas “Valsts un pašvaldību ēku vides pieejamības nodrošināšanas pasākumi”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nosaukumu ar 3.1. reformu un investīciju virzienu “Reģionālā politika”.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92. punktam, kas noteic, ka noteikumu projekta nosaukumu veido, vārdus “kārtība”, “noteikumi” v.tml. rakstot kā nosaukuma pēdējo vārdu un ka nosaukumu ar vārdiem “Noteikumi par” iesāk tikai retos izņēmuma gadījumos. Attiecīgi lūdzam atbilstoši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mērķi un mērķa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vārdu “pasākuma” pirms vārda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mērķi un mērķa grupu;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noteiktas prasības izpildījis projekta iesniedzējs, kura projekta iesniegums ir apstiprināts, lūdzam noteikumu projekta 1.4. apakšpunktā nenorādīt atsevišķi uz projekta iesniedzēju, jo tas ir lieki.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13.punktu, priekšlikums apsvērt vai nav atbilstošāk 1.4.apakšpunktā "finansējuma saņēmējs" aizstāt ar “projekta iesniedzējs”, Statuss "finansējuma saņēmējs" ir projekta iesnieguma izvērtēšanas procesa rezultāts, kurā pārtop projekta iesniedzējs pēc līguma noslēgšanas. Ierasts, pasākuma īstenošanas noteikumos ir svarīgi definēt projekta iesniedzējus. Finansējuma saņēmēja definīcija visās investīcijās būs vienāda, proti, projekta iesniedzējs, kura projekta iesniegums ir apstiprināts un tiek īstenots.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līguma vai vienošanās par projekta īstenošanu (turpmāk – līgums)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saīsinājumu uz "līgums par projekta īstenošanu" un lietot šādu saīsinājumu turpmāk noteikumos, jo noteikumu projektā ir minēti citi līgumi un šādi tiktu novērsta vairākkārtējā atsaukšanās uz noteikumu 22.punktu. Noteikumu 31.3. apakšpunktā ir lietots saīsinājums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līguma vai vienošanās par projekta īstenošanu (turpmāk – līgums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līguma vai vienošanās par projekta īstenošanu (turpmāk – līgums par projekta īstenošanu) vienpusēja uzteikuma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iesniegums – aizpildīta projekta iesnieguma veidlapa (turpmāk – projekta veidlapa) un tās pielikumi, ko šajos noteikumos noteiktajā kārtībā iesniedz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projekta iesniedzējs, lai pieteiktos projekta īstenošanai nepieciešamā atbalsta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šāda termina atrunāšanu un lietojumu noteikumos, ja turpmāk noteikumu projektā šāds termins netiek pieminēts. Noteikumu projekta attiecīgajos punktos tiek lietots saīsinājums “projekta veidlapa”.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tomēr atsevišķos noteikumu projekta punktos saīsinājuma “projekta veidlapa” vietā nav atbilstošāks termina “projekta iesniegums” lietojums. Skatīt., piemēram, 2.2., 2.3. (CFLA noteikumos noteiktajā kārtībā apstiprina projekta iesniegumu), 20.1., 20.1.4.apakšpunktu.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priekšlikums saīsinājumu "projekta veidlapa" atrunāt aiz vārda "pielikumi", ņemot vērā, ka projekta iesniegums ir kopums - projekta iesnieguma veidlapa un visi tās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izvērtēja nepieciešamību precizēt noteikumu projekta 2.1. apakšpunktā lietoto terminu un precizēja to uz "projekta veidlapa". Attiecīgi precizējumi veikti citos noteikumu projekta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veidlapa – aizpildīta projekta iesnieguma veidlapa un tās pielikumi, ko šajos noteikumos noteiktajā kārtībā iesniedz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projekta iesniedzējs, lai pieteiktos projekta īstenošanai nepieciešamā atbalsta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projekts – projekta veidlapa, kas atbilst šo noteikumu nosacījumiem un ko ir apstiprinājusi Centrālā finanšu un līgumu aģentūra (turpmāk –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2.2. un 2.3. apakšpunktā un cituviet noteikumu projekta pamattekstā vārdus "projekta veidlapa" aizstāt ar vārdiem "projekta iesniegums", jo pretējā gadījumā 2.1. apakšpunktā skaidrotais termins "projekta iesniegums" (t.i., apzīmējums saīsinājumam "projekta veidlapa") noteikumu projekta pamattekstā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apakšpunkts, apzīmējuma "projekta iesniegums" vietā lietotjot apzīmējumu "projekta veidlapa".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projekts – projekta veidlapa, kas atbilst šo noteikumu nosacījumiem un kura atbilstību šiem nosacījumiem ir pārbaudījusi Centrālā finanšu un līgumu aģentūra (turpmāk –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 projekta iesniedzējs, ar kuru aģentūra noslēgusi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vārdiem “šo noteikumu” pirms skaitļa un vārda “21.punktā”.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noteikumu projekta 1.8. apakšpunktā lietotajam saīsinājumam.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 projekta iesniedzējs, ar kuru aģentūra noslēgusi līgumu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vides pieejamība – piekļūstamība Eiropas Parlamenta un Padomes 2019. gada 17. aprīļa Direktīvas (ES) </w:t>
            </w:r>
            <w:r w:rsidR="00000000" w:rsidRPr="00000000" w:rsidDel="00000000">
              <w:rPr>
                <w:rtl w:val="0"/>
              </w:rPr>
              <w:t xml:space="preserve">2019/882</w:t>
            </w:r>
            <w:r w:rsidR="00000000" w:rsidRPr="00000000" w:rsidDel="00000000">
              <w:rPr>
                <w:rtl w:val="0"/>
              </w:rPr>
              <w:t xml:space="preserve"> par produktu un pakalpojumu piekļūstamības prasībām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papildināt redakciju "piekļūstamība" ar vārdu “vides” vai kādu citu 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personas ar invaliditāti un personas ar funkcionālajiem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noteikumos lietoto mērķa grupas nosaukumu salāgot ar šo noteikumu 3.punktu, dzēšot 4.punktā atkārtoti lietoto “personas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personas ar invaliditāti un funkcionālajiem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 punkta precizēšana var radīt nevinnozīmīgu normas interpretāciju, saprotot, ka mērķa grupas perosnai vienlaicīgi jābūt gan funkcionālajiem traucejumiem, gan invaliditātei.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mērķa grupa ir personas ar invaliditāti un personas ar funkcionālajiem traucējumiem.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līdz 2022. gada 31. decembrim – līgumu slēgšanas tiesību piešķiršana, lai nodrošinātu piekļuvi publiskām telpām valsts un pašvaldību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esošo redakciju ar papildus informāciju, kam ar ko līgums slēdzams.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7.2. apakšpunkta (iepriekš 6.2. apakšpunkts) redakcija tieši pārņemta no Atveseļošanas fonda  Darbības kārtības redakcijas un ir piemērojama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noteikumu projekta anotācija papildināta ar skaidrojumu, kas uzskatāms par atskaites sasniegšanas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līdz 2022. gada 31. decembrim – līgumu slēgšanas tiesību piešķiršana, lai nodrošinātu piekļuvi publiskām telpām valsts un pašvaldību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atskaites punktu sasniegšanu apliecina šajos noteikumos noteiktais dokumentu kopums, kas iesniegts Kohēzijas politikas fondu vadības informācijas sistēmā (turpmāk – vadības informācijas sistēma), ievērojot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svītrot vārdus “šajos noteikumos noteiktais”, jo zemākajos apakšpunktos ir uzskaitīti attiecīgie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atskaites punktu sasniegšanu apliecina dokumentu kopums, kas iesniegts Kohēzijas politikas fondu vadības informācijas sistēmā (turpmāk – vadības informācijas sistēma),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kas apliecina atbilstību Eiropas Savienības Padomes 2021. gada 6. jūlija Īstenošanas lēmumā (ES) Nr. </w:t>
            </w:r>
            <w:r w:rsidR="00000000" w:rsidRPr="00000000" w:rsidDel="00000000">
              <w:rPr>
                <w:rtl w:val="0"/>
              </w:rPr>
              <w:t xml:space="preserve">2021/1064</w:t>
            </w:r>
            <w:r w:rsidR="00000000" w:rsidRPr="00000000" w:rsidDel="00000000">
              <w:rPr>
                <w:rtl w:val="0"/>
              </w:rPr>
              <w:t xml:space="preserve"> par Latvijas Atveseļošanas fonda plāna novērtējuma apstiprināšanu sniegtajam atskaites punkta un investīciju aprakstam, un informācija par noslēgto būvdarbu līgumu vides pieejamības nodrošināšanai publiskām telpām valsts un pašvaldību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7.3.2.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tiek norādīts, ka finansējuma saņēmējam projekta īstenošanas laikā būs jāiesniedz divi dažādi pārskati – 1. par noslēgtu būvdarbu līgumu, 2. par pabeigtiem būvdarbiem. Lūdzam precizēt, kādam nolūkam šie pārskati tiek paredzēti, un vai tie lieki nedublē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minēts, ka 2. atskaites punkta sasniegšanai finansējuma saņēmējam jānoslēdz līgums par ēkas vides pieejamības būvdarbu veikšanu. Savukārt, 3. atskaites punkta sasniegšanu apliecina apliecinājums par darbu pabeigšanu un pabeigto ēku nodošanu ekspluatācijā (kopijas). Lūdzam skaidrot, kas ir šie “pārskati” un vai tie nedublē vienkāršu dokumentu iesniegšanu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atskaites punktu pamatojošā dokumentācija noteikta atbilstoši Atveseļošanas fonda Darbības kārtībā definētajiem dokumentiem un ir noteikti atbilstoši Eiropas Komisijas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pārskatu sagatavošana projektu īstenošanas laikā ir būtiski nepieciešama, lai pamatotu investīcijas īstenošanas dinamiku un atskaites punktu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un informācija par noslēgto būvdarbu līgumu vides pieejamības nodrošināšanai publiskām telpām valsts un pašvaldību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kas apliecina atbilstību Eiropas Savienības Padomes 2021. gada 6. jūlija Īstenošanas lēmumā (ES) Nr. </w:t>
            </w:r>
            <w:r w:rsidR="00000000" w:rsidRPr="00000000" w:rsidDel="00000000">
              <w:rPr>
                <w:rtl w:val="0"/>
              </w:rPr>
              <w:t xml:space="preserve">2021/1064</w:t>
            </w:r>
            <w:r w:rsidR="00000000" w:rsidRPr="00000000" w:rsidDel="00000000">
              <w:rPr>
                <w:rtl w:val="0"/>
              </w:rPr>
              <w:t xml:space="preserve"> par Latvijas Atveseļošanas fonda plāna novērtējuma apstiprināšanu sniegtajam atskaites punkta un investīciju aprakstam, un informācija par noslēgto būvdarbu līgumu vides pieejamības nodrošināšanai publiskām telpām valsts un pašvaldību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izraksts tiek gaidīts no finansējuma saņēmēja? Par noslēgtiem publisko iepirkumu līgumiem visa informācija ir pieejama publiski Elektronisko iepirkumu sistēmā. Lūdzam papildus skaidrot, kāda ir šī izraksta pamatotība?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atskaites punkti un to pamatojošā dokumentācija noteikta atbilstoši Atveseļošanas fonda Darbības kārtībaā noteiktiem dokumentiem, kas nepieciešami pasakuma progresa pamatošanai Eiropas Komisijā. Papildus skaidrojam, ka noteikumu projekta 8.2. apakšpunktā (iepriekš 7.2. apakšpunkts) noteiktajā pārskatā finansējuma saņēmējiem jāietver pamatinformācija par noslēgto būvdarba līgumu (t.sk. būvdarba līguma Nr. un atsauce uz dokumentiem EIS).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un informācija par noslēgto būvdarbu līgumu vides pieejamības nodrošināšanai publiskām telpām valsts un pašvaldību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kas apliecina atbilstību Eiropas Savienības Padomes 2021. gada 6. jūlija Īstenošanas lēmumā (ES) Nr. </w:t>
            </w:r>
            <w:r w:rsidR="00000000" w:rsidRPr="00000000" w:rsidDel="00000000">
              <w:rPr>
                <w:rtl w:val="0"/>
              </w:rPr>
              <w:t xml:space="preserve">2021/1064</w:t>
            </w:r>
            <w:r w:rsidR="00000000" w:rsidRPr="00000000" w:rsidDel="00000000">
              <w:rPr>
                <w:rtl w:val="0"/>
              </w:rPr>
              <w:t xml:space="preserve"> par Latvijas Atveseļošanas fonda plāna novērtējuma apstiprināšanu sniegtajam atskaites punkta un investīciju aprakstam, un informācija par noslēgto būvdarbu līgumu vides pieejamības nodrošināšanai publiskām telpām valsts un pašvaldību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tālāk noteikumu projektā atšifrēt, kāda būtu minimālā nepieciešamā informācija par noslēgto būvdarbu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nepieciešamā dokumentācija atskaites punkta pamatošanai tiks noteikta ministrijas sagatavotajā metodiskajā materiālā. Papildus skaidrojam, ka noteikumu projekta anotācija papildināta ar skaidrojumu par indikatīvu infomrāciju, kas finansējuma saņēmējam jāsagatavo noslēgtā būvdarbu līguma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noteiktā atskaites punkta sasniegšanai – finansējuma saņēmēja sagatavots pārskats, kurā ietverts izraksts no attiecīgā būvdarbu iepirkuma dokumentācijas daļām un informācija par noslēgto būvdarbu līgumu vides pieejamības nodrošināšanai publiskām telpām valsts un pašvaldību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finansējuma saņēmēja sagatavots pārskats par ēkām, kurās pabeigti būvdarbi, un tajās nodrošinātajiem vides pielāgojumiem minimālo vides pieejamības prasību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finansējuma saņēmējam un CFLA, lūdzam 7.3.2. apakšpunktu papildināt ar "ja nav iesniegts maksājuma pieprasījums vai objekts nav nodots ekspluatācijā uz 23.2.1. apakšpunktā noteikto atskaites iesniegšanas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Atveseļošanas fonda Darbības kārtībā 114. mērķrādītāja pamatojošajai dokumentācijai jāsagatavo “</w:t>
            </w:r>
            <w:r w:rsidR="00000000" w:rsidRPr="00000000" w:rsidDel="00000000">
              <w:rPr>
                <w:i w:val="1"/>
                <w:rtl w:val="0"/>
              </w:rPr>
              <w:t xml:space="preserve">b) pabeigto ēku sarakstu, norādot ar minimālo piekļūstamības standartu īstenošanu saistītā intervences pasākuma nosaukumu, vietu un īsu aprakstu”</w:t>
            </w:r>
            <w:r w:rsidR="00000000" w:rsidRPr="00000000" w:rsidDel="00000000">
              <w:rPr>
                <w:rtl w:val="0"/>
              </w:rPr>
              <w:t xml:space="preserve">. Ņemot vērā to, ka maksājuma pieprasījumā var netikt iekļauta informācija par veiktajiem pielāgojumiem, uzskatām, ka noteikumu projekta 8.3.2. apakšpunktā (iepriekš 7.3.2. apakšpunkts) saglabājama noteiktā pārskata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finansējuma saņēmēja sagatavots pārskats par ēkām, kurās pabeigti būvdarbi, un tajās nodrošinātajiem vides pielāgojumiem minimālo vides pieejamības prasību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atskaites punktu sasniegšanu apliecina dokumentu kopums, kas iesniegts Kohēzijas politikas fondu vadības informācijas sistēmā (turpmāk – vadības informācijas sistēma),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saskaņo TAP.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vides pieejamība nodrošina ikvienam sabiedrības loceklim vienlīdzīgas iespējas dzīvot pilnvērtīgu dzīvi un saņemt nepieciešamos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2010. gada 1. martā ir ratificējusi Apvienoto Nāciju Organizācijas 2006. gada 13. decembra Konvenciju par personu ar invaliditāti tiesībām. Tās 9. panta 1. 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personas ar invaliditāti varētu dzīvot neatkarīgi un pilnvērtīgi piedalīties visās dzīves jomās, dalībvalstis veic atbilstošus pasākumus, lai vienlīdzīgi ar citiem nodrošinātu personām ar invaliditāti pieeju fiziskajai videi, transportam, informācijai un sakariem, tostarp informācijas un sakaru tehnoloģijām un sistēmām, un citiem objektiem un pakalpojumiem, kas ir atvērti vai ko sniedz sabiedrībai gan pilsētās, gan lauku rajonos. Šie pasākumi, kas ietver pieejamībai traucējošu šķēršļu un barjeru identificēšanu un likvidēšanu, cita starpā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ceļiem, transportu un citiem iekštelpu un āra objektiem, tostarp skolām, mājokļiem, ārstniecības iestādēm un darba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sakaru un citiem pakalpojumiem, tostarp elektroniskajiem pakalpojumiem un avārijas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plānotās investīcijas tiek pamatotas ar 2020. gada vides pieejamības pašnovērtējumu, nosakot to kā atbilstības nosacījumu. Situācija divu gadu laikā var būt būtiski mainīties gan ēku vides pieejamības cilvēkiem ar invaliditāti un cilvēkiem ar funkcionālajiem traucējumiem, gan labklājības nozares publisko pakalpojumu un publisko ēku skaita 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ģimeniskai videi pietuvināta pakalpojuma sniegšanu ārpusģimenes aprūpē esošiem bērniem kopš š.g. 30. jūnija ir uzsākti būvdarbi objektā Skroderu ielā 13 un 13A, Ventspilī. Plānots izveidot divas pārbūvējamās ēkās, no kurām viena ēka – Skroderu ielā 13A, Ventspilī, ir divstāvu. Šobrīd vides pieejamības nodrošināšanai – pacēlāja izbūvei nokļūšanai ēkas otrajā stāvā nav pieejami finanšu resursi.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Labklājības ministriju atkārtoti organizēt pašvaldību ēku vides pieejamības pašnovērtējumu, kas sniegtu iespēju pašvaldībām aktualizēt savas vajadzības, kā arī sniegtu iespēju papildināt atbalstāmo ēku sarakstu ar Skroderu ielu 13A, Ventspilī.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LM, atbilstoši Plāna pieejamas vides veidošanai Latvijā 2019.-2021. gadam (2019. gada 12. marta Ministru kabineta rīkojums Nr. 113 “Par Plānu pieejamas vides veidošanai Latvijā 2019.-2021. gadam” (turpmāk – Plāns)) 3.1. pasākumā noteiktajam, 2020. gadā ir organizējusi vides un informācijas pieejamības pašnovērtējumu valsts un pašvaldību ēkās un ēkās, kurās tiek sniegti valsts un pašvaldību pakalpojumi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(pirms 3.tabulas) minēts, ka Plānā minēto pasākumu, t.sk. 13.pasākuma “Esošo valsts un pašvaldību ēku, un ēku, kurās tiek sniegti valsts un pašvaldību pakalpojumi, pieejamības nodrošināšanas pasākumu uzsākšana”, īstenošanai ir iespējams piesaistīt arī ES finanšu instrumentus, tādējādi mazinot valsts budžetam uzlikto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13. pasākuma īstenošana daļēji plānota Atveseļošanas fonda 3.1.2.1.i. 1. kārtas pasākuma ietvaros, nodrošinot finansiālu atbalstu, lai nodrošinātu valsts vai pašvaldības ēkā sniegto labklājības nozares valsts pakalpojumu vai pašvaldības sociālo pakalpojumu vides pieejamību. Ņemot vērā to, ka LM 3.1.2.1.i. investīcijas ietvaros pieejams ierobežots finansējums, atbalstu plānots sniegt tikai tām ēkām, kurām 2020. gadā veikts vides pieejamības pašnovērtējums (attiecīgā pašvaldība vai iestāde ir sniegusi informāciju par vides pieejamību ēkā nodrošinātajam pakalpojumam) – tādējādi atbalstot tās pašvaldības, kas atsaucās uz vides pieejamības pašnovērtējuma veikšanu.  Attiecīgi ēkām, par kurām vides pieejamības pašnovērtējums netika veikts, atbalsts netiek plānots.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pielikumā noteiktajā sarakstā iekļautas ēkas, kas atlasītas pēc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ēkā sniegtajam labklājības nozares valsts pakalpojumam vai pašvaldības sociālajam pakalpojumam 2020. gadā veikts vides pieejamības pašnovērtējums, kas iesniegts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ēkā sniegtā labklājības nozares valsts pakalpojuma vai pašvaldības sociālā pakalpojuma vides pieejamības koeficients ir zemāks par 5,9 (attiecīgi ēkas prioritāri kārto pēc vides pieejamība koeficienta no zemākā līdz augstākam);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ēkā tiek sniegts labklājības nozares valsts pakalpojums vai pašvaldības sociālais pakalpojums (sociālajam pakalpojumam jābūt reģistrētam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ēka ir valsts, pašvaldības vai valsts īpašumā un īpašumtiesības ir nostiprinātas Valsts vienotajā datorizētajā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skaidrojam, ka ēka Skroderu ielu 13A, Ventspilī, nekvalificētos atbalsta saņemšanai, kā arī tajā nav reģistrēts pašvaldības sniegts sociālais pakalpojums. Tāpat skaidrojam, ka vēlmi iekļaut papildus ēkas vai mainīt ēkas atbalsttiesīgo ēku sarakstu (notiekumu pielikums) iepriekš ir izteikušas vairākas pašvaldības, taču arī tām šāda iespēja netika nodrošināta, jo ēku saraksts ir nodefinēts.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Ventspils pašvaldībai rast iespēju finansēt Skroderu ielu 13A ēkas vides pieejamības nodrošināšanu pašvaldībai pieejamo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atskaites punktu sasniegšanu apliecina dokumentu kopums, kas iesniegts Kohēzijas politikas fondu vadības informācijas sistēmā (turpmāk – vadības informācijas sistēma),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kopējais attiecināmais Atveseļošanas fonda finansējums 7 000 000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vārdu “ir” aiz vārda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kopējais attiecināmais finansējums ir 7 326 340 </w:t>
            </w:r>
            <w:r w:rsidR="00000000" w:rsidRPr="00000000" w:rsidDel="00000000">
              <w:rPr>
                <w:i w:val="1"/>
                <w:rtl w:val="0"/>
              </w:rPr>
              <w:t xml:space="preserve">euro</w:t>
            </w:r>
            <w:r w:rsidR="00000000" w:rsidRPr="00000000" w:rsidDel="00000000">
              <w:rPr>
                <w:rtl w:val="0"/>
              </w:rPr>
              <w:t xml:space="preserve">, tai skaitā attiecināmais Atveseļošanas fonda finansējums ir 7 000 000 </w:t>
            </w:r>
            <w:r w:rsidR="00000000" w:rsidRPr="00000000" w:rsidDel="00000000">
              <w:rPr>
                <w:i w:val="1"/>
                <w:rtl w:val="0"/>
              </w:rPr>
              <w:t xml:space="preserve">euro</w:t>
            </w:r>
            <w:r w:rsidR="00000000" w:rsidRPr="00000000" w:rsidDel="00000000">
              <w:rPr>
                <w:rtl w:val="0"/>
              </w:rPr>
              <w:t xml:space="preserve"> un valsts budžeta finansējums (pievienotās vērtības nodoklis) – indikatīvi 326 340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neuzkrāj informāciju par dalībniekiem un Eiropas Komisijas noteiktajiem Atveseļošanas fonda plāna kopējiem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9. punktā norādīt attiecīgā pienākuma subjektu. Kā arī, ņemot vērā, ka kopējie rādītāji ir ietverti Eiropas Savienības regulā, aicinām minētajā punktā izdarīt atbilstošu atsauci saskaņā ar Ministru kabineta 2009. gada 3. februāra noteikumu Nr. 108 "Normatīvo aktu projektu sagatavošanas noteikumi" 172.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finansējuma saņēmējs neuzkrāj informāciju par dalībniekiem un Komisijas 2021. gada 28. septembra Deleģētā regulā (ES) </w:t>
            </w:r>
            <w:r w:rsidR="00000000" w:rsidRPr="00000000" w:rsidDel="00000000">
              <w:rPr>
                <w:rtl w:val="0"/>
              </w:rPr>
              <w:t xml:space="preserve">2021/2106</w:t>
            </w:r>
            <w:r w:rsidR="00000000" w:rsidRPr="00000000" w:rsidDel="00000000">
              <w:rPr>
                <w:rtl w:val="0"/>
              </w:rPr>
              <w:t xml:space="preserve">, ar kuru, nosakot atveseļošanas un noturības rezultātu pārskata kopējos rādītājus un detalizētos elementus, papildina Eiropas Parlamenta un Padomes Regulu (ES) </w:t>
            </w:r>
            <w:r w:rsidR="00000000" w:rsidRPr="00000000" w:rsidDel="00000000">
              <w:rPr>
                <w:rtl w:val="0"/>
              </w:rPr>
              <w:t xml:space="preserve">2021/241</w:t>
            </w:r>
            <w:r w:rsidR="00000000" w:rsidRPr="00000000" w:rsidDel="00000000">
              <w:rPr>
                <w:rtl w:val="0"/>
              </w:rPr>
              <w:t xml:space="preserve">, ar ko izveido Atveseļošanas un noturības mehānismu noteiktajiem Atveseļošanas fonda plāna kopējiem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I.Atbalstāmās darbības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nodaļas kārtas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Atbalstāmās darbības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projekta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 šobrīd ir apzināti attīstāmie objekti, projekta ieviešana faktiski sastāvēs no divām darbībām, t.i. projektēšana un būvniecība, kā arī to, ka vienas ēkas vides pieejamības nodrošināšanai pieejamie līdzekļi var būt nepietiekoši būvniecības cenu iespējama pieauguma dēļ, lūdzu izvērtēt projekta vadību izslēgt no projekta darbībām un tai paredzēto finansējumu plānot pielāgojumu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 minētais priekšlikums nav atbalstāms, lūdzam projekta vadības izmaksas plānot kā vienkāršotās izmaksas, lai mazinātu administratīvo slogu gan FS, gan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izmaksām piemērota Regulas Nr. 2021/1060 55. panta 1. punktā noteiktā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apmērs pamatots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projekta vadība;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vides pieejamības ekspertu konsultācija;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nav noteikta kārtība šādu ekspertu licencēšanai/sertificēšanai, kā arī nav šādu ekspertu saraksts, izvērtēt iespēju izslēgt no minētā MKN punkta vārdu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vides pieejamības konsultācija;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īstenotā projekta attiecināmas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13. punktu, paredzot, ka pasākuma ietvaros ir attiecināmas 13. punkta tālākajos apakšpunktos norādītās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izmaksas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11 procentu apmērā no pārējā attiecināmā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vārdu “nepārsniedzot" pirms skaitļa "11" un attiecīgi precizēt vārdu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izmaksas šo noteikumu 14.1. apakšpunktā minētās atbalstāmās darbības īstenošanai finansējuma saņēmējs plāno kā vienu izmaksu pozīciju nepārsniedzot 11 procentu apmēru no pārējā attiecināmā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w:t>
            </w:r>
            <w:r w:rsidR="00000000" w:rsidRPr="00000000" w:rsidDel="00000000">
              <w:rPr>
                <w:u w:val="single"/>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55. panta 1. punktā noteiktajai vienkāršoto izmaksu pieejai projekta vadības peronāla izmaksas tiek apreķinātas, piemērojot </w:t>
            </w:r>
            <w:r w:rsidR="00000000" w:rsidRPr="00000000" w:rsidDel="00000000">
              <w:rPr>
                <w:b w:val="1"/>
                <w:rtl w:val="0"/>
              </w:rPr>
              <w:t xml:space="preserve">fiksētu</w:t>
            </w:r>
            <w:r w:rsidR="00000000" w:rsidRPr="00000000" w:rsidDel="00000000">
              <w:rPr>
                <w:rtl w:val="0"/>
              </w:rPr>
              <w:t xml:space="preserve"> likmi 10 %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izmaksas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plāno kā vienu izmaksu pozīciju 10 procentu apmērā no pārējā attiecināmā Atveseļošanas fonda finansējuma apmēra;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pārliecinās par projekta veidlapas atbilstību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 uzaicinājumā iekļautajai informācijai, vadības informācijas sistēmā iekļautajiem norādījumiem projekta veidlapas aizpildīšanai, šo noteikumu nosacījumiem un Eiropas Parlamenta un Padomes 2018. gada 18. jūlija regulā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(turpmāk - izslēgšanas kritēriji) tik tālu, cik tas attiecināms uz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tajā iekļaujot "... un to, ka projekta iesniedzējs neatbilst....".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pārliecinās par projekta veidlapas atbilstību šo noteikumu 20.1. apakšpunktā minētajā uzaicinājumā iekļautajai informācijai, vadības informācijas sistēmā iekļautajiem norādījumiem projekta veidlapas aizpildīšanai, šo noteikumu nosacījumiem un to, ka projekta iesniedzējs neatbilst Eiropas Parlamenta un Padomes 2018. gada 18. jūlija regulā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(turpmāk - izslēgšanas kritēriji) tik tālu, cik tas attiecināms uz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pārliecinās par projekta veidlapas atbilstību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 uzaicinājumā iekļautajai informācijai, šo noteikumu nosacījumiem, tai skaitā  projekta veidlapā pieprasītajai informācijai un ka uz projekta iesniedzēju nav attiecināmi Eiropas Parlamenta un Padomes 2018. gada 18. jūlija regulā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noteiktie izslēgšanas kritēriji (turpmāk - izslēgšanas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norādot aizpildāmos datu laukus informāciju vadības informācijas sistēmā, ja uz informācijas iesniegšanas brīdi nodrošināta tās funkcionalitāte;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pārcelt vārdus “vadības informācijas sistēmā” pirms vārda “norādot”.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projekta iesniedzējs 20 darbdienu laikā pēc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 uzaicinājuma saņemšanas iesniedz projekta veidlapu. Projekta veidlapu sagatavo par visām piekrītošajām ēkām, par kurām saņemts aģentūras uzaicinājums. Ja projekta veidlapa sagatavota par vairākām ēkām, kopējo Atveseļošanas fonda finansējumu var pārdalīt starp minētajām ēkām, atkāpjoties no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noteiktā Atveseļošanas fonda finansējuma apmēra vienai ēkai, bet nepārsniedzot ēkām kopējo pieejamo Atveseļošanas fonda finansējuma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aktu projektu ar informāciju par papildus iesniedzamo dokumentāciju/ pielikumiem pie projekta veidlapas. Piemēram, domes lēmums par projekta iesniegšanu, būvdarbu izmaksu kalkulācija/ apliecinājums, īpašumu piederību apliecinošus dokumentus,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piemēriem, par papildu iesniedzamo dokumentāciju, taču precīza dokumentācija tiks noteikta projektu konkursa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aģentūra viena mēneša laikā pēc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projekta veidlapas saņemšanas, ja nepieciešams, sadarbojoties ar ministriju, veic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plānoto progresa pārskatu iesniegšanas grafiku, kurā norāda maksājumu veidu (avansa maksājums, starpposma maksājums vai gala maksājums), maksājuma apmēru un pieprasīšanas termiņu. Plānoto progresa pārskatu iesniegšanas grafiku izstrādā, ņemot vērā šo noteikumu </w:t>
            </w:r>
            <w:r w:rsidR="00000000" w:rsidRPr="00000000" w:rsidDel="00000000">
              <w:rPr>
                <w:rtl w:val="0"/>
              </w:rPr>
              <w:t xml:space="preserve">26.10. </w:t>
            </w:r>
            <w:r w:rsidR="00000000" w:rsidRPr="00000000" w:rsidDel="00000000">
              <w:rPr>
                <w:rtl w:val="0"/>
              </w:rPr>
              <w:t xml:space="preserve">apakšpunktā</w:t>
            </w:r>
            <w:r w:rsidR="00000000" w:rsidRPr="00000000" w:rsidDel="00000000">
              <w:rPr>
                <w:rtl w:val="0"/>
              </w:rPr>
              <w:t xml:space="preserve"> minētos termiņus informācijas ievadei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attiecībā uz terminiem "gala maksājums" un "noslēguma maksājums".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plānoto progresa pārskatu iesniegšanas grafiku, kurā norāda maksājumu veidu (avansa maksājums, starpposma maksājums vai noslēguma maksājums), maksājuma apmēru un pieprasīšanas termiņu. Plānoto progresa pārskatu iesniegšanas grafiku izstrādā, ņemot vērā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minētos termiņus informācijas ievadei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iepirkumu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arī iepirkumu plāns tiks ievietots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23.1. apakšpunkta noteikts, ka progresa pārskatu iesniegšanas plānu izstrādā atbilstoši noteiktajiem termiņiem informācijas ievadei vadības informācija sistēmā, nevis tas, ka progresa pārskats jāievada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Infomrācijas ievadīšanas prasība vadības informācijas sistēmā noteikta noteikumu projekta 19. punktā un 22.5.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iepirkumu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finansējuma saņēmējs sagatavo pieprasījumu avansa maksājumam, kurā pamato avansa maksājuma nepieciešamību un apmēru. Avansa maksājuma apmērs nevar pārsniegt 40 procentus no projekta Atveseļošanas fonda finansējuma apmēra un tas ir jāapgūst sešu mēnešu laikā saimnieciskā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V</w:t>
            </w:r>
            <w:r w:rsidR="00000000" w:rsidRPr="00000000" w:rsidDel="00000000">
              <w:rPr>
                <w:i w:val="1"/>
                <w:rtl w:val="0"/>
              </w:rPr>
              <w:t xml:space="preserve">adlīniju informatīvā ziņojuma vai Ministru kabineta noteikumu izstrādei par Eiropas Savienības Atveseļošanas un noturības mehānisma plāna reformas vai investīcijas ieviešanu </w:t>
            </w:r>
            <w:r w:rsidR="00000000" w:rsidRPr="00000000" w:rsidDel="00000000">
              <w:rPr>
                <w:rtl w:val="0"/>
              </w:rPr>
              <w:t xml:space="preserve">70.punktā ir rekomendācija avansa maksājumu nenoteikt lielāku par 30%. Anotācijā nav ietverts pamatojums, kāpēc ir nosakāms 40% avansa maksājums.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finansējuma saņēmējs sagatavo pieprasījumu avansa maksājumam, kurā pamato avansa maksājuma nepieciešamību un apmēru. Avansa maksājuma apmērs nevar pārsniegt 30 procentus no projekta Atveseļošanas fonda finansējuma apmēra un tas ir jāapgūst sešu mēnešu laikā saimnieciskā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apmērs noteikts 30 %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finansējuma saņēmējs sagatavo pieprasījumu avansa maksājumam, kurā pamato avansa maksājuma nepieciešamību un apmēru. Avansa maksājuma apmērs nevar pārsniegt 30 procentus no projekta Atveseļošanas fonda finansējuma apmēra un tas ir jāapgūst sešu mēnešu laikā saimnieciskā gada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šo noteikumu </w:t>
            </w:r>
            <w:r w:rsidR="00000000" w:rsidRPr="00000000" w:rsidDel="00000000">
              <w:rPr>
                <w:rtl w:val="0"/>
              </w:rPr>
              <w:t xml:space="preserve">24.1.2.</w:t>
            </w:r>
            <w:r w:rsidR="00000000" w:rsidRPr="00000000" w:rsidDel="00000000">
              <w:rPr>
                <w:rtl w:val="0"/>
              </w:rPr>
              <w:t xml:space="preserve">, </w:t>
            </w:r>
            <w:r w:rsidR="00000000" w:rsidRPr="00000000" w:rsidDel="00000000">
              <w:rPr>
                <w:rtl w:val="0"/>
              </w:rPr>
              <w:t xml:space="preserve">24.2.2.</w:t>
            </w:r>
            <w:r w:rsidR="00000000" w:rsidRPr="00000000" w:rsidDel="00000000">
              <w:rPr>
                <w:rtl w:val="0"/>
              </w:rPr>
              <w:t xml:space="preserve"> un </w:t>
            </w:r>
            <w:r w:rsidR="00000000" w:rsidRPr="00000000" w:rsidDel="00000000">
              <w:rPr>
                <w:rtl w:val="0"/>
              </w:rPr>
              <w:t xml:space="preserve">24.3.2. </w:t>
            </w:r>
            <w:r w:rsidR="00000000" w:rsidRPr="00000000" w:rsidDel="00000000">
              <w:rPr>
                <w:rtl w:val="0"/>
              </w:rPr>
              <w:t xml:space="preserve">apakšpunktā</w:t>
            </w:r>
            <w:r w:rsidR="00000000" w:rsidRPr="00000000" w:rsidDel="00000000">
              <w:rPr>
                <w:rtl w:val="0"/>
              </w:rPr>
              <w:t xml:space="preserve"> noteiktā maksājuma veikšanas termiņu aģentūra var pagarināt, ja nepieciešama papildu informācija no finansējuma saņēmēja vai aģentūrai ir iebildumi par avansa maksājuma, starpposma maksājuma vai noslēguma maksājuma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apakšpunktu ar papildu termiņa noteikšanas pamatu, jo aģentūras iebildumi paši par sevi nerada vajadzību pēc papildu termiņa. Vajadzību pēc papildu termiņa ierasti rada, ja nepieciešama papildu informācija, precizējumi esošajā informācijā vai papildu laiks maksājuma pamatojuma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priekšlikums dzēst "vai aģentūrai ir iebildumi par avansa maksājuma, starpposma maksājuma vai noslēguma maksājuma pamatojumu" vai ietvert risinājumu šādai situācijai, kas attiecīgi rada pamatu pagarināt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šo noteikumu 24.1.2., 24.2.2. un 24.3.2. apakšpunktā noteiktā maksājuma veikšanas termiņu aģentūra var pagarināt, ja nepieciešama papildu informācija no finansējuma saņēmēja vai avansa maksājuma, starpposma maksājuma vai noslēguma maksājuma pamatojuma izvērtēšanai ir nepieciešams papildu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maksājuma veikšanas termiņu var pagarināt arī gadījumā, ja aģentūrai ir iebildumi par maksajuma pamatojumu (piemēram, finansējuma saņemējs ir iesniedzis nekorektu infomrāciju, kas attiecīgi jāsvītro vai jāprecizē).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w:t>
            </w:r>
            <w:r w:rsidR="00000000" w:rsidRPr="00000000" w:rsidDel="00000000">
              <w:rPr>
                <w:rtl w:val="0"/>
              </w:rPr>
              <w:t xml:space="preserve">23.1.2.</w:t>
            </w:r>
            <w:r w:rsidR="00000000" w:rsidRPr="00000000" w:rsidDel="00000000">
              <w:rPr>
                <w:rtl w:val="0"/>
              </w:rPr>
              <w:t xml:space="preserve">, </w:t>
            </w:r>
            <w:r w:rsidR="00000000" w:rsidRPr="00000000" w:rsidDel="00000000">
              <w:rPr>
                <w:rtl w:val="0"/>
              </w:rPr>
              <w:t xml:space="preserve">23.2.2.</w:t>
            </w:r>
            <w:r w:rsidR="00000000" w:rsidRPr="00000000" w:rsidDel="00000000">
              <w:rPr>
                <w:rtl w:val="0"/>
              </w:rPr>
              <w:t xml:space="preserve"> un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noteiktā maksājuma veikšanas termiņu aģentūra var pagarināt uz laiku ne ilgāku par 10 darbdienām, ja nepieciešama papildu informācija no finansējuma saņēmēja, aģentūrai ir iebildumi par maksājuma pamatojumu vai maksājuma pamatojuma izvērtēšanai ir nepieciešams papildu laiks;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ietvaros piesaista projekta vadības personālu un nodrošina, ka projekta īstenošanas laikā atbilstoši Eiropas Parlamenta un Padomes 2021. gada 12. februāra Regulas (ES) Nr.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2021/241), 22. pantā noteiktajam tiek ievēroti interešu konflikta, korupcijas un krāpšanas novēršanas nosacījumi,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"tai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25.1. šo noteikumu 14.1. apakšpunktā minētās atbalstāmās darbības ietvaros piesaista projekta vadības personālu un nodrošina, ka projekta īstenošanas laikā atbilstoši Eiropas Parlamenta un Padomes 2021. gada 12. februāra Regulas (ES) Nr. 2021/241, ar ko izveido Atveseļošanas un noturības mehānismu (turpmāk – regula Nr. 2021/241), 22. pantā noteiktajam tiek ievēroti interešu konflikta, korupcijas un krāpšanas novēršanas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atbalstāmās darbības ietvaros piesaista projekta vadības personālu un nodrošina, ka projekta īstenošanas laikā atbilstoši Eiropas Parlamenta un Padomes 2021. gada 12. februāra Regulas (ES) Nr.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2021/241), 22. pantā noteiktajam tiek ievēroti interešu konflikta, korupcijas un krāpšanas novēršanas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saņēmējam ir pienākums atmaksāt aģentūrai saņemto nelikumīgo komercdarbības atbalstu no līdzekļiem, kas brīvi no komercdarbības atbalsta saskaņā ar Komercdarbības atbalsta kontroles likuma IV un V nodaļu, ja tiek konstatēts, ka projekta īstenošanas laikā un šo noteikumu </w:t>
            </w:r>
            <w:r w:rsidR="00000000" w:rsidRPr="00000000" w:rsidDel="00000000">
              <w:rPr>
                <w:rtl w:val="0"/>
              </w:rPr>
              <w:t xml:space="preserve">25.18. </w:t>
            </w:r>
            <w:r w:rsidR="00000000" w:rsidRPr="00000000" w:rsidDel="00000000">
              <w:rPr>
                <w:rtl w:val="0"/>
              </w:rPr>
              <w:t xml:space="preserve">apakšpunktā</w:t>
            </w:r>
            <w:r w:rsidR="00000000" w:rsidRPr="00000000" w:rsidDel="00000000">
              <w:rPr>
                <w:rtl w:val="0"/>
              </w:rPr>
              <w:t xml:space="preserve"> minētajā termiņā mainās ēkā veikto vides pieejamības pielāgojumu izmantošanas mērķis, uzsākot saimniecisko darbību, kas klasificējama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atgūstot nelikumīgo komercdarbības atbalstu, Komercdarbības atbalsta kontroles likuma IV un V nodaļu vienlaikus nepiemēro, lūdzam šajā punktā starp Komercdarbības atbalsta kontroles likuma nodaļām tekstā ievietot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saņēmējam ir pienākums atmaksāt aģentūrai saņemto nelikumīgo komercdarbības atbalstu no līdzekļiem, kas brīvi no komercdarbības atbalsta saskaņā ar Komercdarbības atbalsta kontroles likuma IV vai V nodaļu, ja tiek konstatēts, ka projekta īstenošanas laikā un šo noteikumu </w:t>
            </w:r>
            <w:r w:rsidR="00000000" w:rsidRPr="00000000" w:rsidDel="00000000">
              <w:rPr>
                <w:rtl w:val="0"/>
              </w:rPr>
              <w:t xml:space="preserve">25.18. </w:t>
            </w:r>
            <w:r w:rsidR="00000000" w:rsidRPr="00000000" w:rsidDel="00000000">
              <w:rPr>
                <w:rtl w:val="0"/>
              </w:rPr>
              <w:t xml:space="preserve">apakšpunktā</w:t>
            </w:r>
            <w:r w:rsidR="00000000" w:rsidRPr="00000000" w:rsidDel="00000000">
              <w:rPr>
                <w:rtl w:val="0"/>
              </w:rPr>
              <w:t xml:space="preserve"> minētajā termiņā mainās ēkā veikto vides pieejamības pielāgojumu izmantošanas mērķis, uzsākot saimniecisko darbību, kas klasificējama kā komercdarbības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šo noteikumu </w:t>
            </w:r>
            <w:r w:rsidR="00000000" w:rsidRPr="00000000" w:rsidDel="00000000">
              <w:rPr>
                <w:rtl w:val="0"/>
              </w:rPr>
              <w:t xml:space="preserve">12.5. </w:t>
            </w:r>
            <w:r w:rsidR="00000000" w:rsidRPr="00000000" w:rsidDel="00000000">
              <w:rPr>
                <w:rtl w:val="0"/>
              </w:rPr>
              <w:t xml:space="preserve">apakšpunktā</w:t>
            </w:r>
            <w:r w:rsidR="00000000" w:rsidRPr="00000000" w:rsidDel="00000000">
              <w:rPr>
                <w:rtl w:val="0"/>
              </w:rPr>
              <w:t xml:space="preserve"> minētās atbalstāmās darbības ietvaros finansējuma saņēmējs vai finansējuma saņēmēja piesaistīts pakalpojuma sniedzējs nodrošina, ka šo noteikumu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minētās atbalstāmās darbības īstenošanas laikā tiek sniegtas vides pieejamības ekspertu konsultācijas un veiktas specifiskas darbības vides un informācijas pieejamības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MKN 12.5.punkta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šo noteikumu </w:t>
            </w:r>
            <w:r w:rsidR="00000000" w:rsidRPr="00000000" w:rsidDel="00000000">
              <w:rPr>
                <w:rtl w:val="0"/>
              </w:rPr>
              <w:t xml:space="preserve">14.5. </w:t>
            </w:r>
            <w:r w:rsidR="00000000" w:rsidRPr="00000000" w:rsidDel="00000000">
              <w:rPr>
                <w:rtl w:val="0"/>
              </w:rPr>
              <w:t xml:space="preserve">apakšpunktā</w:t>
            </w:r>
            <w:r w:rsidR="00000000" w:rsidRPr="00000000" w:rsidDel="00000000">
              <w:rPr>
                <w:rtl w:val="0"/>
              </w:rPr>
              <w:t xml:space="preserve"> minētās atbalstāmās darbības ietvaros, nepieciešamības gadījumā piesaistot pakalpojuma sniedzēju, var nodrošināt vides pieejamības konsultācijas, kas nepieciešamas šo noteikumu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un </w:t>
            </w:r>
            <w:r w:rsidR="00000000" w:rsidRPr="00000000" w:rsidDel="00000000">
              <w:rPr>
                <w:rtl w:val="0"/>
              </w:rPr>
              <w:t xml:space="preserve">14.6. </w:t>
            </w:r>
            <w:r w:rsidR="00000000" w:rsidRPr="00000000" w:rsidDel="00000000">
              <w:rPr>
                <w:rtl w:val="0"/>
              </w:rPr>
              <w:t xml:space="preserve">apakšpunktā</w:t>
            </w:r>
            <w:r w:rsidR="00000000" w:rsidRPr="00000000" w:rsidDel="00000000">
              <w:rPr>
                <w:rtl w:val="0"/>
              </w:rPr>
              <w:t xml:space="preserve"> minētās atbalstāmās darbības ietvaros, tai skaitā, ja nepieciešams, izstrādā atzinumu par šo noteikumu </w:t>
            </w:r>
            <w:r w:rsidR="00000000" w:rsidRPr="00000000" w:rsidDel="00000000">
              <w:rPr>
                <w:rtl w:val="0"/>
              </w:rPr>
              <w:t xml:space="preserve">25.15. </w:t>
            </w:r>
            <w:r w:rsidR="00000000" w:rsidRPr="00000000" w:rsidDel="00000000">
              <w:rPr>
                <w:rtl w:val="0"/>
              </w:rPr>
              <w:t xml:space="preserve">apakšpunktā</w:t>
            </w:r>
            <w:r w:rsidR="00000000" w:rsidRPr="00000000" w:rsidDel="00000000">
              <w:rPr>
                <w:rtl w:val="0"/>
              </w:rPr>
              <w:t xml:space="preserve"> minēto pašnovērtējumu. Vides pieejamības konsultāciju sniegšanai var piesaistīt būvspeciālistu vai tādu fizisku vai juridisku personu, kura būvniecības projektos vai būvniecības vietās sniegusi vismaz 20 individuālās konsultācijas par vides un informācijas pieejamības nodrošināšanu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 minētajām mērķa grupas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piesaista pakalpojuma sniedzējus atbilstoši normatīvajiem aktiem publisko iepirkumu jomā, īstenojot atklātas, pārredzamas, nediskriminējošas un konkurenci nodrošinošas iepirkuma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25.5.apakšpunkta redakcija nebūtu precizējuma, aptverot jebkuru potenciālo iepirkumu, nevis tikai pakalpojuma iepirkumu, kā tas paredzēts pašreizējā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nepieciešamos iepirkumus veic atbilstoši normatīvajiem aktiem publisko iepirkumu jomā, īstenojot atklātas, pārredzamas, nediskriminējošas un konkurenci nodrošinošas iepirkuma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iepirkumus veic atbilstoši normatīvajiem aktiem publisko iepirkumu jomā, īstenojot atklātas, pārredzamas, nediskriminējošas un konkurenci nodrošinošas iepirkuma procedūras, tai skaitā ievērojot normatīvajā aktā par publisko būvdarbu līgumos obligāti ietveramajiem noteikumiem un to saturu noteiktos nosacījumus.  Ja nepieciešams, pašvaldības var vienoties par centralizēta publiskā iepirkuma organizēšanu;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ja vien iespējams, organizējot publiskā iepirkuma procedūru, ievēro zaļā iepirkuma un sociāli atbildīgā iepirkuma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 precizējumu un vārdu savienojuma "zaļā iepirkuma" vietā lietot vārdu savienojumu "zaļā publiskā iepirkuma".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ja vien iespējams, organizējot publiskā iepirkuma procedūru, ievēro zaļā publiskā iepirkuma un sociāli atbildīgā iepirkuma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nodrošinot normatīvajos aktos par Atveseļošanas fonda plāna īstenošanu un uzraudzības kārtību noteikto finansējuma saņēmēja pienākuma izpildi attiecībā uz informācijas ievadi vadības informācijas sistēmā Atveseļošanas fonda plāna īstenošanas progresa pusgada ziņojuma un maksājuma pieprasījuma sagatavošanai, datus uzkrāj un ievada vadības informācijas sistēmā līdz kārtējā gada 10. janvārim (ar statusu uz iepriekšējā gada 31. decembri) un 10. jūnijam (ar statusu uz kārtējā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ka dati informācijas vadības sistēmā tiek ievadīti atbilstoši līgumā par projekta īstenošanu noteiktajam termiņam, bet ne vēlāk kā līdz kārtēja gada 10. janvārim un 30.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 nodrošinot normatīvajos aktos par Atveseļošanas fonda plāna īstenošanu un uzraudzības kārtību noteiktā finansējuma saņēmēja pienākuma izpildi attiecībā uz informācijas ievadi vadības informācijas sistēmā Atveseļošanas fonda plāna īstenošanas progresa pusgada ziņojuma un maksājuma pieprasījuma sagatavošanai, datus uzkrāj un ievada vadības informācijas sistēmā atbilstoši līgumā par projekta īstenošanu noteiktajam termiņam, bet ne vēlāk kā līdz kārtēja gada 10. janvārim (ar statusu uz iepriekšējā gada 31. decembri) un 30. jūnijam (ar statusu uz kārtējā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nekavējoties informē aģentūru un ministriju par problēmām (tai skaitā par konstatētām vai iespējamiem trūkumiem un pārkāpumiem) projekta īstenošanā, kas saistītas ar normatīvajos aktos par Atveseļošanas fonda plāna īstenošanu un uzraudzības kārtību noteikto finansējuma saņēmēja pienākuma izpildi un Atveseļošanas fonda plāna prasību ievērošanu un riskiem, kuri apdraud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noteiktā atskaites punkta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nepieciešama paralēla informācijas aprite, šajā gadījumā, vienlaicīgi informējot gan CFLA, gan ministriju, jo līgums tiks slēgts starp finansējuma saņēmēju un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CFLA informēs ministriju, ja tiks konstatētas problēmas/riski/trūkumi/pārkāpumi projekta īstenošanā, šādu nosacījumu iekļaujot starpresoru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nekavējoties informē aģentūru par problēmām (tai skaitā par konstatētiem vai iespējamiem trūkumiem un pārkāpumiem) projekta īstenošanā, kas saistītas ar normatīvajos aktos par Atveseļošanas fonda plāna īstenošanu un uzraudzības kārtību un šajos noteikumos noteikto finansējuma saņēmēja pienākumu izpildi, un riskiem, kuri apdraud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noteiktā atskaites punkta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nodrošina, ka atbilstoši normatīvajiem aktiem par grāmatvedības uzskaites kārtību budžeta iestādēs vides pielāgojumu amortizācijas laikā vai projekta pārskata periodā (projekta dzīves cikla laikā), kas noteikts atbilstoši Komisijas 2014. gada 3. marta Deleģētās regulas (ES) Nr. </w:t>
            </w:r>
            <w:r w:rsidR="00000000" w:rsidRPr="00000000" w:rsidDel="00000000">
              <w:rPr>
                <w:rtl w:val="0"/>
              </w:rPr>
              <w:t xml:space="preserve">480/2014</w:t>
            </w:r>
            <w:r w:rsidR="00000000" w:rsidRPr="00000000" w:rsidDel="00000000">
              <w:rPr>
                <w:rtl w:val="0"/>
              </w:rPr>
              <w:t xml:space="preserve"> I pielikumā noteiktajam, netiek uzsākta saimnieciskā darbība, kas klasificējas kā komercdarbības atbalsts vai netiek mainīta sākotnēji noteiktā saimnieciskās darbības, kas klasificējas kā komercdarbības atbalsts, jauda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gadījumos, kad finansējuma saņēmējs būs plānojis ieguldījumus infrastruktūrā ēkā (vai tās daļā), kas netiks izmantota saimnieciskās darbības veikšanai, bet projekta pārskata periodā (projekta dzīves cikla laikā) situācija mainītos, t.sk. piemēram, tiktu pārsniegts papildinošās saimnieciskās darbības limits, finansējuma saņēmējam nebūtu iespējas atbalstu saņemt kā de minimis atbalstu, ņemot vērā, ka programmā ir paredzēta iespēja finansējuma saņēmējam saņemt de minimis atbalstu par atbilstošas infrastruktūras izveidi objektos (vai to daļās), kas tiek izmantoti saimnieciskās darbības veikšanai, un attiecībā uz de minimis atbalstu nav jāievēro atbalsta stimulējošās ietekmes nosacījums. Attiecīgi tad ir jāprecizē šis noteikumu punkts un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iebildumu skatīt kontekstā ar priekšlikumu pie šo noteikumu 39.4.punkta.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precizēts, svītrojot atauci uz de minimis regulējumu (de minimis atbalsta piešķiršana vairs netiek plānota).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ir uzskatāms par datu pārzini saskaņā ar Eiropas Parlamenta un Padomes 2016. gada 27. aprīļa Regulu (ES) Nr.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Nr. 95/46/EK attiecībā (turpmāk - regula Nr. 2016/679) uz tādu personas datu apstrādi vadības informācijas sistēmā, lai īstenotu projektu, kā arī sagatavotu un iesniegtu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nodrošina, ka atbilstoši normatīvajiem aktiem par grāmatvedības uzskaites kārtību budžeta iestādēs vides pielāgojumu amortizācijas laikā vai projekta pārskata periodā (projekta dzīves cikla laikā), kas noteikts atbilstoši Komisijas 2014. gada 3. marta Deleģētās regulas (ES) Nr. </w:t>
            </w:r>
            <w:r w:rsidR="00000000" w:rsidRPr="00000000" w:rsidDel="00000000">
              <w:rPr>
                <w:rtl w:val="0"/>
              </w:rPr>
              <w:t xml:space="preserve">480/2014</w:t>
            </w:r>
            <w:r w:rsidR="00000000" w:rsidRPr="00000000" w:rsidDel="00000000">
              <w:rPr>
                <w:rtl w:val="0"/>
              </w:rPr>
              <w:t xml:space="preserve"> I pielikumā noteiktajam, netiek uzsākta saimnieciskā darbība, kas klasificējas kā komercdarbības atbalsts vai netiek mainīta sākotnēji noteiktā saimnieciskās darbības, kas klasificējas kā komercdarbības atbalsts, jauda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vai anotācijā nav atrunāts, kurš un kā nodrošinās uzraudzību projekta dzīves ciklā, lai papildinošās saimnieciskās darbības proporcija netiktu pārsniegta.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svītrojot atsauci uz de minimis regulējumu (pasākuma ietvaros vairs nav plānots sniegt de minimis atbalstu). Papildus noteikumu projekta anotācija papildināta ar skaidorjumu par valsts atbalsta neesamību pasākuma ietvaros, attiecīgi nav nepieciešams nodrošināt tā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ir uzskatāms par datu pārzini saskaņā ar Eiropas Parlamenta un Padomes 2016. gada 27. aprīļa Regulu (ES) Nr.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Nr. 95/46/EK attiecībā (turpmāk - regula Nr. 2016/679) uz tādu personas datu apstrādi vadības informācijas sistēmā, lai īstenotu projektu, kā arī sagatavotu un iesniegtu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nodrošina, ka atbilstoši normatīvajiem aktiem par grāmatvedības uzskaites kārtību budžeta iestādēs vides pielāgojumu amortizācijas laikā vai projekta pārskata periodā (projekta dzīves cikla laikā), kas noteikts atbilstoši Komisijas 2014. gada 3. marta Deleģētās regulas (ES) Nr. </w:t>
            </w:r>
            <w:r w:rsidR="00000000" w:rsidRPr="00000000" w:rsidDel="00000000">
              <w:rPr>
                <w:rtl w:val="0"/>
              </w:rPr>
              <w:t xml:space="preserve">480/2014</w:t>
            </w:r>
            <w:r w:rsidR="00000000" w:rsidRPr="00000000" w:rsidDel="00000000">
              <w:rPr>
                <w:rtl w:val="0"/>
              </w:rPr>
              <w:t xml:space="preserve"> I pielikumā noteiktajam, netiek uzsākta saimnieciskā darbība, kas klasificējas kā komercdarbības atbalsts vai netiek mainīta sākotnēji noteiktā saimnieciskās darbības, kas klasificējas kā komercdarbības atbalsts, jauda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aģentūra investīcijas 3.1.2.1.i ietvaros nepiešķir un neuzrauga piešķirto komercdarbības atbalstu, nepieciešama papildus vienošanās ar Ministriju par 25.14.apakšpunktā noteiktā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112.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ir uzskatāms par datu pārzini saskaņā ar Eiropas Parlamenta un Padomes 2016. gada 27. aprīļa Regulu (ES) Nr.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Nr. 95/46/EK attiecībā (turpmāk - regula Nr. 2016/679) uz tādu personas datu apstrādi vadības informācijas sistēmā, lai īstenotu projektu, kā arī sagatavotu un iesniegtu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nodrošina, ka atbilstoši normatīvajiem aktiem par grāmatvedības uzskaites kārtību budžeta iestādēs vides pielāgojumu amortizācijas laikā vai projekta pārskata periodā (projekta dzīves cikla laikā), kas noteikts atbilstoši Komisijas 2014. gada 3. marta Deleģētās regulas (ES) Nr. </w:t>
            </w:r>
            <w:r w:rsidR="00000000" w:rsidRPr="00000000" w:rsidDel="00000000">
              <w:rPr>
                <w:rtl w:val="0"/>
              </w:rPr>
              <w:t xml:space="preserve">480/2014</w:t>
            </w:r>
            <w:r w:rsidR="00000000" w:rsidRPr="00000000" w:rsidDel="00000000">
              <w:rPr>
                <w:rtl w:val="0"/>
              </w:rPr>
              <w:t xml:space="preserve"> I pielikumā noteiktajam, netiek uzsākta saimnieciskā darbība, kas klasificējas kā komercdarbības atbalsts vai netiek mainīta sākotnēji noteiktā saimnieciskās darbības, kas klasificējas kā komercdarbības atbalsts, jauda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regulas (ES) Nr. 480/2014 pilno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ir uzskatāms par datu pārzini saskaņā ar Eiropas Parlamenta un Padomes 2016. gada 27. aprīļa Regulu (ES) Nr.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Nr. 95/46/EK attiecībā (turpmāk - regula Nr. 2016/679) uz tādu personas datu apstrādi vadības informācijas sistēmā, lai īstenotu projektu, kā arī sagatavotu un iesniegtu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lai nodrošinātu informācija pieejamību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pārbaužu veikšanai, gadījumā, ja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minētais iepirkuma plāns iesniegts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noteiktajā kārtībā, piecu darbdienu laikā no saņemšanas dienas minēto informāciju nosūta Iepirkumu uzraudzības birojam;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šo noteikumu 17. punktu, proti, 17.1. punktu aizstāt ar 17.2.punktu, tā kā informāciju Iepirkumu uzraudzības birojam jānosūta gadījumā, ja nebūs nodrošināta vadības informācijas sistēmas funkcionalitāte.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jo KPVIS funkcionalitāte jau ir nodrošināta (infomrācija pieejama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izstrādā vadlīnijas “Vienlīdzība, iekļaušana, nediskriminācija un pamattiesību ievērošana”, kurās apkopota informācija par minimāliem vides pieejamības standartiem, kas jānodrošina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punktā ir norādīts, ka Labklājības ministrija izstrādā vadlīnijas “Vienlīdzība, iekļaušana, nediskriminācija un pamattiesību ievērošana”, kurās apkopota informācija par minimāliem vides pieejamības standartiem, kas jānodrošina ēkās.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vadlīnijas jau ir izstrādātas un vai vadlīnijās noteikto tad beigās būs jānodrošina projekta ēkās.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vadlīnijas ir izstrādātas un pieejamas ministrijas tīmekļvietnē (skat.: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publicē ministrijas tīmekļvietnē vadlīnijas "Vienlīdzība, iekļaušana, nediskriminācija un pamattiesību ievērošana", metodisko materiālu "Labās prakses ieteikumi vides piekļūstamības nodrošināšanai papildus LBN 200-21 noteiktajam" un anketu pašnovērtējuma veikšanai, kur apkopota informācija par minimālajām vides pieejamības prasībām, kas jānodrošina ēkās;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pēc vadības informācijas sistēmas funkcionalitātes nodrošināšanas iesniedz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ēku sarakstu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minēto ēku saraksts jau tiks apstiprināts ar MKN kā arī noslēdzot līgumu ar FS visi attīstāmie objekti tiks norādīti VIS, līdz ar to nav saprotams kurā no sadaļām šis tiks iesniegts un kā. Izvērtēt iespēju precizēt konkrēto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punkta sasniegšana tiks pamatota, nosūtot notiekumu redakciju ar ēku sarakstu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sagatavo un nosūta aģentūrai metodiskās norādes finansējuma saņēmējam par pārskata sagatavošanu šo noteikumu </w:t>
            </w:r>
            <w:r w:rsidR="00000000" w:rsidRPr="00000000" w:rsidDel="00000000">
              <w:rPr>
                <w:rtl w:val="0"/>
              </w:rPr>
              <w:t xml:space="preserve">7.2.</w:t>
            </w:r>
            <w:r w:rsidR="00000000" w:rsidRPr="00000000" w:rsidDel="00000000">
              <w:rPr>
                <w:rtl w:val="0"/>
              </w:rPr>
              <w:t xml:space="preserve"> un </w:t>
            </w:r>
            <w:r w:rsidR="00000000" w:rsidRPr="00000000" w:rsidDel="00000000">
              <w:rPr>
                <w:rtl w:val="0"/>
              </w:rPr>
              <w:t xml:space="preserve">7.3. </w:t>
            </w:r>
            <w:r w:rsidR="00000000" w:rsidRPr="00000000" w:rsidDel="00000000">
              <w:rPr>
                <w:rtl w:val="0"/>
              </w:rPr>
              <w:t xml:space="preserve">apakšpunktā</w:t>
            </w:r>
            <w:r w:rsidR="00000000" w:rsidRPr="00000000" w:rsidDel="00000000">
              <w:rPr>
                <w:rtl w:val="0"/>
              </w:rPr>
              <w:t xml:space="preserve"> noteiktā atskaites punkta sasniegšanas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sagatavo metodiskās norādes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noteiktā atskaites punkta sasniegšanu pamatošanai. Minētās norādes nosūta aģentūrai publicēšanai tīmekļvietnes sadaļā par pasākuma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nepieciešams papildināt ar norādi kādā tīmekļa vietnē.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nosūta aģentūrai publicēšanai aģentūras tīmekļa vietnes sadaļā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pēc nepieciešamības, bet ne retāk, kā reizi pusgadā, organizē projektu īstenošanas uzraudzības sanāksmes, uzaicinot aģentūru un nepieciešamības gadījumā arī finansējuma saņēmējus;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nedzīvojamo platību iznomāšana vai nodošana lietošanā pašvaldības vai valsts deleģēto pārvaldes uzdevumu veikšanai saskaņa ar normatīvajiem aktiem, kas regulē publiskas personas finanšu līdzekļu un mantas likumīgu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35.1.apakšpunktā sniegta atsauce uz normatīvajiem aktiem, kas regulē publiskas personas finanšu līdzekļu un mantas likumīgu izmantošanu, savukārt noteikumu projekta 35.2.apakšpunktā sniegta atsauce uz normatīvajiem aktiem par publiskas personas finanšu līdzekļu un mantas izšķērdēšanas novēršanu. Ņemot vērā, ka tā pēc būtības ir atsauce uz Publiskas personas finanšu līdzekļu un mantas izšķērdēšanas novēršanas likumu, lūdzam salāgot 35.1.apakšpunktā sniegto atsauci (izmantot tādu atsauci kā 35.2.apakšpunktā) vai arī skaidrot, kādi citi normatīvie akti ir domāti.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vārdus "nodošana lietošanā" aizstāt ar vārdiem "nodošana bezatlīdzības lietošanā" atbilstoši Publiskas personas finanšu līdzekļu un mantas izšķērdēšanas novēršanas likuma 5.pantam.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ja tiek konstatēts, ka ir pārsniegts šo noteikumu </w:t>
            </w:r>
            <w:r w:rsidR="00000000" w:rsidRPr="00000000" w:rsidDel="00000000">
              <w:rPr>
                <w:rtl w:val="0"/>
              </w:rPr>
              <w:t xml:space="preserve">35.4. </w:t>
            </w:r>
            <w:r w:rsidR="00000000" w:rsidRPr="00000000" w:rsidDel="00000000">
              <w:rPr>
                <w:rtl w:val="0"/>
              </w:rPr>
              <w:t xml:space="preserve">apakšpunktā</w:t>
            </w:r>
            <w:r w:rsidR="00000000" w:rsidRPr="00000000" w:rsidDel="00000000">
              <w:rPr>
                <w:rtl w:val="0"/>
              </w:rPr>
              <w:t xml:space="preserve"> noteiktais 20 procentu īpatsvars no ēkā veiktās saimnieciskās darbības kopējās gada jaudas vai no ēkas daļas, kurā netiek veikta saimnieciskā darbība, gada jaudas finansējuma saņēmējam proporcionāli tai ēkas daļai, kurā tiek veikta saimnieciskā darbība (platības, laika vai finanšu izteiksmē), par kuru kopumā ir konstatēts pārkāpums, ir pienākums atmaksāt aģentūrai visu projekta ietvaros saņemto nelikumīgo komercdarbības atbalstu kopā ar procentiem par attiecīgo gadu, kad pārsniegts šo noteikumu </w:t>
            </w:r>
            <w:r w:rsidR="00000000" w:rsidRPr="00000000" w:rsidDel="00000000">
              <w:rPr>
                <w:rtl w:val="0"/>
              </w:rPr>
              <w:t xml:space="preserve">35.4. </w:t>
            </w:r>
            <w:r w:rsidR="00000000" w:rsidRPr="00000000" w:rsidDel="00000000">
              <w:rPr>
                <w:rtl w:val="0"/>
              </w:rPr>
              <w:t xml:space="preserve">apakšpunktā</w:t>
            </w:r>
            <w:r w:rsidR="00000000" w:rsidRPr="00000000" w:rsidDel="00000000">
              <w:rPr>
                <w:rtl w:val="0"/>
              </w:rPr>
              <w:t xml:space="preserve"> noteiktais 20 procentu apjoms, saskaņā ar </w:t>
            </w:r>
            <w:r w:rsidR="00000000" w:rsidRPr="00000000" w:rsidDel="00000000">
              <w:rPr>
                <w:rtl w:val="0"/>
              </w:rPr>
              <w:t xml:space="preserve">Komercdarbības atbalsta kontroles likuma</w:t>
            </w:r>
            <w:r w:rsidR="00000000" w:rsidRPr="00000000" w:rsidDel="00000000">
              <w:rPr>
                <w:rtl w:val="0"/>
              </w:rPr>
              <w:t xml:space="preserve"> IV un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iebildumu skatīt kontekstā ar iebildumu pie šo noteikumu 25.14.punkta.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aicinām izvērtēt, vai gadījumos, kad finansējuma saņēmējs būs plānojis ieguldījumus infrastruktūrā ēkā (vai tās daļā), kas netiks izmantota saimnieciskās darbības veikšanai, bet projekta pārskata periodā (projekta dzīves cikla laikā) situācija mainītos, t.sk. piemēram, tiktu pārsniegts papildinošās saimnieciskās darbības limits, finansējuma saņēmējam nebūtu iespējas atbalstu saņemt kā de minimis atbalstu, ņemot vērā, ka programmā ir paredzēta iespēja finansējuma saņēmējam saņemt de minimis atbalstu par atbilstošas infrastruktūras izveidi objektos (vai to daļās), kas tiek izmantoti saimnieciskās darbības veikšanai, un attiecībā uz de minimis atbalstu nav jāievēro atbalsta stimulējošās ietekmes nosacījums. Šādā gadījumā nelikumīga komercdarbības atbalsta atgūšanas normas attiecībā uz augstāk minēto situācijas maiņu nebūtu jāpiemēro, bet būtu jāpiemēro de minimis atbalsta nosacījumi. Vienlaikus lūdzam pārskatīt šo noteikumu 40.punktu šajā kontekstā,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tad ir jāprecizē skaidrojums anotācijā un šis noteikumu punkts,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ja tiek konstatēts, ka ir pārsniegts šo noteikumu 35.4. apakšpunktā noteiktais 20 procentu īpatsvars no ēkā veiktās saimnieciskās darbības kopējās gada jaudas vai no ēkas daļas, kurā netiek veikta saimnieciskā darbība, vai ēkā (vai tās daļā) tiek veikta saimnieciskā darbība, tad atbalstu finansējuma saņēmējs var saņemt kā de minimis atbalstu saskaņā ar šo noteikumu 34.punktu.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vairs nav plānota de minimis atbalsta regulējuma piemērošana (de minimis atbalsts netiks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Aģentūras lēmumu par finansējuma saņēmēja atbilstību </w:t>
            </w:r>
            <w:r w:rsidR="00000000" w:rsidRPr="00000000" w:rsidDel="00000000">
              <w:rPr>
                <w:i w:val="1"/>
                <w:rtl w:val="0"/>
              </w:rPr>
              <w:t xml:space="preserve">de minimis</w:t>
            </w:r>
            <w:r w:rsidR="00000000" w:rsidRPr="00000000" w:rsidDel="00000000">
              <w:rPr>
                <w:rtl w:val="0"/>
              </w:rPr>
              <w:t xml:space="preserve"> atbalsta nosacījumiem, finansējuma saņēmējs var apstrīdēt Finanšu ministrijā viena mēneša laikā no lēmuma spēkā stāšanās dienas. Finanšu ministrijas izdoto lēmumu var pārsūdzēt Administratīvā rajona tiesa.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41. punktu, norādot atbilstošu galotni vārdam "tiesa".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vairs nav plānota de minimis atbalsta regulējuma piemērošana (de minimis atbalsts netiks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kuras atbilst atbalsta saņemšanas nosacījumiem vides pieejamības nodrošināšanai,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atsevišķām ēkām nav norādīts pilns adreses pieraksts. Aicinām ēku adreses pierakstu veikt saskaņā ar Ministru kabineta 2021.gada 29.jūnija noteikumos Nr.455 "Adresācijas noteikumi"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pielikumā norādīto institūciju nosaukums neatbilst Latvijas Republikas Uzņēmumu reģistrā norādītajam. Tā, piemēram, pielikumā ir norādīta institūcija "Ķekavas sociālās aprūpes centrs", savukārt Latvijas Uzņēmumu reģistrā šīs institūcijas pilns nosaukums ir:  "Pašvaldības aģentūra "Ķekavas sociālās aprūpes centrs"". Aicinām pārskatīt un precizēt institūciju nosaukumus.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kuras atbilst atbalsta saņemšanas nosacījumiem vides pieejamības nodrošināšanai, saraksts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pasākuma 3.1.2.1.i otro kārtu, ņemot vērā Darbības kārtības 1. pielikumā (115., 116. un 117. punts), AF plāna (838) ii. apakspunktā un (1059)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noteikta kārtība Vides pieejamības ekspertu licencēšanai/sertificēšanai, kā arī nav pieejami minēto ekspertu saraksti, lūdzam izvērtēt iespēju no sadaļas "Atbalstāmās darbības" izslēgt  atbalstāmo darbību "Vides  pieejamības ekspertu konsultācija".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"Pasākuma īstenošanas kārtība atskaites punktu sasniegšanai" papildināt ar ar mērķi un tā skaitlisko vērtību, atbilstoši Darbības kārtības 1. pielikumā (114. punkts) un AF plānā (1059)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skaidrojumu izziņas 18.punktā.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"Pasākuma demarkācija un papildināmība ar citiem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papildināt ar vārdiem “Eiropas Savienības fondu” pirms skaitļiem “2021.-2027.”. Attiecīgi lūdzu precizēt visā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rtl w:val="0"/>
              </w:rPr>
              <w:t xml:space="preserve">Lūdzu papildināt ar vārdiem “Eiropas Savienības struktūrfondu un Kohēzijas fonda” pirms skaitļiem “2014.-2020.”. Attiecīgi lūdzu precizēt visā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pielikumā ir iekļauts Rīgas valstspilsēta pašvaldības objekts – Garozes ielā 15, sociālais aprūpes centrs “Pārdaugava”, kurā tiek sniegts pašvaldības ilgstošās sociālās aprūpes pakalpojums. MK noteikumos nav minēts, ka vides pielāgošanu var veikt ilgstošās sociālās aprūpes iestādēs, taču nav arī norādīts, ka nevar, jo anotācijā pie pašvaldības sociāliem pakalpojumiem ir uzskaitīti dažādi pakalpojumi, u.c. pakalpojumi vai MK noteikumu projektā 30.3. apakšpunktā noteikto, ka ēkā atbilst ja tiek sniegts labklājības nozares valsts pakalpojums vai pašvaldības sociālais pakalpojums. Lūgums skaidrot vai Rīgas valstspilsētas pašvaldības objekts, kurš atrodas Garozes ielā 15 ir atbilstošs MK noteikumiem un tur var plānot vides pieejamības nodrošināšanu, vai arī ja nevar, tad MK noteikumus papildināt ar punktu, ka programmas atbalsts nav domāts ēkām, kurās tiek nodrošināts ilgstošās sociālās aprūpes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skaidorjumu izziņas 63.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Maksājumu veikšanas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līguma noslēgšanas finansējuma saņēmējs atbilstoši noteikumos noteiktajai kārtībai var pieprasīt avansa maksājumus, starpposma maksājumus un gala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maksājumu var pieprasīt līdz 40 % no projekta kopējā attiecināmā Atveseļošanas fonda finansējuma. Tāpat pēc līguma noslēgšanas finansējuma saņēmējs var iesniegt pieprasījumu starpposma maksājumam izmaksu kompensēšanai, kas radušās no 2022.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avansa maksājuma apmērs uz 30 %.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sadaļas punktā "Finansējuma saņēmēja pienākumi" ierosinām precizēt 5. zemsvītras piezīmi, ja vien izšķiroši svarīga nav tieši norāde uz ārvalstu praksi. Ierosinātie labojumi precīzāk norādītu uz informāciju par zaļo publiskoi iepirkumu, kura jāņem vērā un būtu palīdzīga Atveseļošanas fonda finansējuma saņēmējiem iepirkumu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zemsvītras piezīme: "Ministru kabineta 2017. gada 20. jūnija noteikumi Nr. 353 "Prasības zaļajam publiskajam iepirkumam un to piemērošanas kārtība", papildu informācija https://www.varam.gov.lv/lv/zalais-publiskais-iepirkums"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1.3.sadaļā “Pašreizējā situācija, problēmas un risinājumi” komunikācijas un dizaina vadlīniju nosaukumu, t.i., Eiropas Savienības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apakšsadaļas “Risinājuma apraksts” tabulas “Projekta vadības personāla izmaksu aprēķins” (turpmāk – tabula) ailē “Atlīdzība kopā” norādīto projekta vadības personāla atlīdzības nodrošināšanai plānoto finansējuma apmēru, jo, matemātiski aprēķinot atlīdzības kopsummu, ievērojot norādīto personāla slodzi un atlīdzības apmēru, atlīdzības kopsumma neatbilst tabulā norādītajam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anotācijas 1.sadaļas apakšsadaļā “Risinājuma apraksts” norādītais projektu vadībai nepieciešamā finansējuma apmērs (638 657,33 euro) neatbilst anotācijas 3.sadaļas 6.punktā norādītajam plānotajam projekta vadības izmaksu apmēram (636 364 euro), līdz ar to salāgojama anotācijā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Perosnāla izmaksu tabula papildināta ar VSAOI (23,59 %) apreķinu (t.sk aritmētiski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anotācijas 1. sadaļā veikts aprēķins, lai noteiktu perosnāla izmaksu vienotās likmes apmēru (t.i., 10,04 %), kas ir 638 656,18 euro. Lai vienkāršoto vienotās likmes piemērošanu, tā noapaļota līdz pilniem desmitiem (t.i., no 10,04 % līdz 10 %). Attiecīgi anotācijas 3. sadaļā perosnāla izmaksu apreķinā izmantota vienotā likme 10 %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ēku vides pieejamības nodrošināšanai nepieciešamā finansējuma aprēķinu, jo minēto formulu kopsummas neatbilst 6.punktā norādītajam (aprēķins 111 000 euro * 49 ēkas neveido 5 430 000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par Pievienotās vērtības nodokļa (turpmāk – PVN) finansēšanu pirmo un otro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otrajai daļai minētās kapitālsabiedrības nodrošina valsts nekustamo īpašuma pārvaldīšanu atbilstoši MK 06.12.2011. noteikumiem Nr.934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VSIA “Šampētera nams” un VAS “Valsts nekustamie īpašumi” reģistrēta PVN reģistrā un sniedz ar PVN apliekamus darījumus, pasākuma ietvaros tai nav tiesības atskaitīt priekšnodokli, jo saskaņā ar MK 03.01.2013. noteikumu Nr. 17 “Pievienotās vērtības nodokļa likuma normu piemērošanas kārtība un atsevišķas prasības pievienotās vērtības nodokļa maksāšanai un administrēšanai” 160. punktu priekšnodokli neatskaita par valsts pārvaldes (izpildvaras) funkciju vai uzdevumu veikšanu (skaidrojums saskaņots ar Finanšu ministriju 02.06.2022. e-pastā Nr. 4.1-13/5.2/222).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1.3.sadaļā iekļauto skaidrojumu par pievienotās vērtības nodokļa finansēšanu projekta ietvaros, svītrojot dublējošo tekstu "</w:t>
            </w:r>
            <w:r w:rsidR="00000000" w:rsidRPr="00000000" w:rsidDel="00000000">
              <w:rPr>
                <w:i w:val="1"/>
                <w:rtl w:val="0"/>
              </w:rPr>
              <w:t xml:space="preserve">Lai arī VSIA “Šampētera nams” un VAS “Valsts nekustamie īpašumi” reģistrēta PVN reģistrā un sniedz ar PVN apliekamus darījumus, pasākuma ietvaros tai nav tiesības atskaitīt priekšnodokli, jo saskaņā ar MK 03.01.2013. noteikumu Nr. 17 “Pievienotās vērtības nodokļa likuma normu piemērošanas kārtība un atsevišķas prasības pievienotās vērtības nodokļa maksāšanai un administrēšanai” 160. punktu priekšnodokli neatskaita par valsts pārvaldes (izpildvaras) funkciju vai uzdevumu veikšanu (skaidrojums saskaņots ar Finanšu ministriju 02.06.2022. e-pastā Nr. 4.1-13/5.2/222).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saturā norādīt precīzu reģistra nosaukumu, jo atbilstoši Pievienotās vērtības nodokļa likuma 55.pantā noteiktajam nodokļa maksātājs reģistrējams Valsts ieņēmumu dienesta pievienotās vērtības nodokļa maksātāju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anotācijas 1.3. sadaļā iekļautais skaidrojums par PVN finansēšanu projekta ietvaros, svītrojot dublējošo tekstu, attiecīgi precizējot Valsts ieņēmumu dienesta pievienotās vērtības nodokļa maksātāju reģistra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atsauci uz informatīvo ziņojumu “Par Latvijas Atveseļošanas un noturības mehānisma plāna ieviešanu”. Vēršam uzmanību, ka ziņojums attiecas tikai uz administratīvo resursu piešķiršanu Vadības un kontroles sistēmas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1.3.sadaļas 2.punktu Vizuālās identitātes prasību nodrošināšana ar atsauci uz Eiropas Komisijas un Latvijas Republikas Atveseļošanas un noturības mehānisma finansēšanas nolīguma 10.pantu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1.3.sadaļas apakšadaļu “Maksājumu veikšanas kārtība” ar informāciju, ka avansa un starpposma maksājumu kopsumma ir 90%, ņemot vērā Ministru kabineta noteikumu projektā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22-TA-438</w:t>
    </w:r>
    <w:r>
      <w:br/>
    </w:r>
    <w:r w:rsidR="00000000" w:rsidRPr="00000000" w:rsidDel="00000000">
      <w:rPr>
        <w:rtl w:val="0"/>
      </w:rPr>
      <w:t xml:space="preserve">08.09.2022. 08.37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22-TA-438</w:t>
    </w:r>
    <w:r>
      <w:br/>
    </w:r>
    <w:r w:rsidR="00000000" w:rsidRPr="00000000" w:rsidDel="00000000">
      <w:rPr>
        <w:rtl w:val="0"/>
      </w:rPr>
      <w:t xml:space="preserve">08.09.2022. 08.37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Izziņa_22-TA-438.docx</dc:title>
</cp:coreProperties>
</file>

<file path=docProps/custom.xml><?xml version="1.0" encoding="utf-8"?>
<Properties xmlns="http://schemas.openxmlformats.org/officeDocument/2006/custom-properties" xmlns:vt="http://schemas.openxmlformats.org/officeDocument/2006/docPropsVTypes"/>
</file>