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23-TA-3006: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Kredītiestāžu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V nodaļu ar 74.</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Noraidot LPS iebildumu, FM ir atsaukusies, ka "Satversmes tiesa ir secinājusi, ka Latvijas Bankai ir tiesības izdot ārējos normatīvos aktus atbilstoši pilnvarojumam tai ar likumu piešķirtās kompetences jomā attiecībā uz konkrētu tiesību subjektu loku."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LPS iebildums, kurā bija uzsvērts- ka LPS viennozīmīgi atbalsta likumprojekta mērķi- nodrošināt to, </w:t>
            </w:r>
            <w:r w:rsidR="00000000" w:rsidRPr="00000000" w:rsidDel="00000000">
              <w:rPr>
                <w:b w:val="1"/>
                <w:u w:val="single"/>
                <w:rtl w:val="0"/>
              </w:rPr>
              <w:t xml:space="preserve">lai Latvijas teritorijā būtu pieejams pietiekoši plašs bankomātu tīkls, no kura bez kredītiestādes noteiktas komisijas maksas varētu izņemt noteiktu skaidras naudas summu, turklāt tie būtu izvietoti visā Latvijas teritorijā, arī mazāk blīvi apdzīvotu teritorijās dzīvojošajiem nodrošinot iespēju izņemt skaidro naudu, nebraucot lielus attālumus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mērķis ir nodrošināt iedzīvotāju tiesību aizsardzību! LB kompetence izdot ārējos tiesību aktus, LPS ieskatā,  neskar iedzīvotāju tiesību aizsardzību. Turklāt atbilstoši labas pārvaldības principiem šādu nosacījumu izdošanā ir jākonsultējas ar sabiedrību. Sabiedrības iesaistes un arī normatīvo aktu saskaņošanas process, cik zināms LPS, ir izstrādāts tikai likumu un MK noteikumu pieņemšanā, tāpēc uzturam iepriekš izteiktos iebildumus un lūdzam visos pantos attiecīgi paredzēt, ka nosacījumus minimālajām prasībām izdod Ministru kabinets, nevis Latvijas Bankai.   Lai nodrošinātu, ka šo minimālo prasību izdošanā tiek veikta gan sabiedrības līdzdalība, gan saskaņošanas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Bankai ir jānosaka kompetence uzraudzīt un nodrošināt minimālo prasību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Latvijas Pašvaldības savienības (turpmāk – LPS) atzinumā minētā secināms, ka LPS konceptuāli atbalsta likumprojekta mērķi, bet viedokļu atšķirība pastāv tikai jautājumā par institūciju, kurai deleģējama likumprojektā (Kredītiestāžu likuma 74.</w:t>
            </w:r>
            <w:r w:rsidR="00000000" w:rsidRPr="00000000" w:rsidDel="00000000">
              <w:rPr>
                <w:vertAlign w:val="superscript"/>
                <w:rtl w:val="0"/>
              </w:rPr>
              <w:t xml:space="preserve">4</w:t>
            </w:r>
            <w:r w:rsidR="00000000" w:rsidRPr="00000000" w:rsidDel="00000000">
              <w:rPr>
                <w:rtl w:val="0"/>
              </w:rPr>
              <w:t xml:space="preserve"> panta otrajā daļā) paredzēto skaidrās naudas izmaksas pakalpojuma prasību skaitlisko vērtību, pieļaujamo atkāpju to izpildē un piemērošanas nosacījumu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LPS iebildumā ietvertais priekšlikums neatbilst pastāvošajam kompetences sadalījumam kredītiestāžu sniegto finanšu pakalpojumu regulēšanas jomā. Ja tiktu ņemts vērā LPS iebildums, tad veidotos sistēmiski nepareizs un neefektīvs kompetences sadalījums, t.sk. vienus un tos pašus skaidras naudas maksājumus valsts apdraudējuma gadījumam regulētu Latvijas Banka, bet citos – Ministru kabinets. Nav pamata uzskatīt, ka Latvijas Bankai nav kompetences izdot ārējos normatīvos aktus, kas skar iedzīvotāju tiesību aizsardzību (nodrošināšanu). Latvijas Banka atbilstoši likumdevēja noteiktajam jau šobrīd virknē jomu (t.sk. kritisko finanšu pakalpojumu un  maksājumu pakalpojumu sniegšanā) ar ārējo normatīvo aktu – Latvijas Bankas noteikumiem – regulē finanšu tirgus dalībnieku darbību, tādējādi ietekmējot arī finanšu tirgus dalībnieku klientu – iedzīvotāju – intereses un tiesības, t.sk. finanšu pakalpojumu pieejamību.Lūgums skatīt arī šīs izziņas (tabulas) 2. punktā minēto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pamata apgalvot, ka Latvijas Bankas noteikumu izdošanā netiek veikta sabiedrības līdzdalība un saskaņošana. Latvijas Bankai kā jebkurai citai valsts pārvaldes iestādei ir saistoši Valsts pārvaldes iekārtas likumā noteiktie valsts pārvaldes principi (t.sk. minēta likuma 10. panta trešajā, piektajā un septītajā daļā minētie) un minētā likuma 48. pantā noteiktie sabiedrības līdzdalības nodrošināšanas pienākumi. Atbilstoši Latvijas Bankas padomes noteiktajai kārtībai visi Latvijas Bankas noteikumu projekti un to anotācijas tiek publicētas Latvijas Bankas oficiālajā tīmekļvietnē sabiedrības līdzdalībai (https://www.bank.lv/ta/sabiedribas-lidzdaliba?page=0&amp;act-state=1), norādot priekšlikumu un iebildumu sniegšanas termiņu. Papildus tam Latvijas Banka nodrošina to institūciju un sabiedrības pārstāvju, ar kuriem saskaņojams Latvijas Bankas noteikumu projekts,  rakstveida informēšanu par tīmekļvietnē sabiedrības līdzdalībai publicēto Latvijas Bankas noteikumu projektu, aicinot tās iesniegt priekšlikumus. Latvijas Banka nodrošina iesniegtajos atzinumos ietverto priekšlikumu un iebildumu izvērtēšanu un, ja nepieciešams, precizēta Latvijas Bankas noteikumu projekta, anotācijas un sabiedrības līdzdalības un saskaņošanas laikā saņemto priekšlikumu apkopojuma sagatavošanu. Ņemot vērā minēto, nav pamata uzskatīt, ka LPS vai jebkurai citai personai netiks nodrošināta iespēja izteikt viedokli un iesniegt priekšlikumus par Latvijas Bankas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V nodaļu ar 74.</w:t>
            </w:r>
            <w:r w:rsidR="00000000" w:rsidRPr="00000000" w:rsidDel="00000000">
              <w:rPr>
                <w:vertAlign w:val="superscript"/>
                <w:rtl w:val="0"/>
              </w:rPr>
              <w:t xml:space="preserve">4</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"74.</w:t>
            </w:r>
            <w:r w:rsidR="00000000" w:rsidRPr="00000000" w:rsidDel="00000000">
              <w:rPr>
                <w:b w:val="1"/>
                <w:vertAlign w:val="superscript"/>
                <w:rtl w:val="0"/>
              </w:rPr>
              <w:t xml:space="preserve">4</w:t>
            </w:r>
            <w:r w:rsidR="00000000" w:rsidRPr="00000000" w:rsidDel="00000000">
              <w:rPr>
                <w:b w:val="1"/>
                <w:rtl w:val="0"/>
              </w:rPr>
              <w:t xml:space="preserve"> pants. </w:t>
            </w:r>
            <w:r w:rsidR="00000000" w:rsidRPr="00000000" w:rsidDel="00000000">
              <w:rPr>
                <w:rtl w:val="0"/>
              </w:rPr>
              <w:t xml:space="preserve">(1) Par kredītiestādi, kurai ir būtiska nozīme skaidrās naudas pieejamības nodrošināšanā Latvijā, ir atzīstama kredītiestāde, kura ir reģistrēta Latvijā vai ir ārvalstu kredītiestādes filiāle Latvijā vai citā dalībvalstī reģistrētas kredītiestādes filiāle Latvijā, un vienlaikus 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kredītiestāde Latvijā sniedz ar maksājumu kontu saistītus pakalpojumus Eiropas Savienības rezidentiem –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kredītiestādē atvērto klientu maksājumu kontu skaits iepriekšējā gada 31. decembrī veido vismaz piecus procentus no kopējā maksājumu kontu skaita Latvijā reģistrētajās kredītiestādēs, ārvalstu kredītiestāžu filiālēs Latvijā un citās dalībvalstīs reģistrēto kredītiestāžu filiālēs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kredītiestādē iekšzemes mājsaimniecību noguldījumi iepriekšējā gada 31. decembrī veido vismaz piecus procentus no kopējiem iekšzemes mājsaimniecību noguldījumiem Latvijā reģistrētajās kredītiestādēs, ārvalstu kredītiestāžu filiālēs Latvijā un citās dalībvalstīs reģistrēto kredītiestāžu filiālēs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kredītiestāde nodrošina, ka tās klientam sniegtie maksājumu pakalpojumi, kuru rezultātā tam ir iespējams izņemt skaidro naudu no maksājumu konta kredītiestādē (turpmāk – skaidrās naudas izmaksas pakalpojums), atbilst šādām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Bankas noteiktā attālumā no jebkuras vietas Latvijas teritorijā klientam ir pieejams vismaz viens kredītiestādes vai jebkuras citas šā panta pirmajā daļā minētās kredītiestādes nodrošināts bankomāts, kurā klients var saņemt skaidrās naudas izmaksas pakalpojumu atbilstoši šīs panta daļas 4. 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kredītiestādes nodrošināto bankomātu skaits Latvijā nav mazāks par Latvijas Bankas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kredītiestādes nodrošinātais bankomāts ir klientam pieejams un darbojas Latvijas Bankas noteiktajā bankomātu darba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kredītiestāde bez maksas nodrošina tās klientam – fiziskai personai, kurai kredītiestāde izsniegusi maksājumu karti,  skaidrās naudas izmaksas pakalpojumu apmērā, kas nav mazāks par Latvijas Bankas noteikto mēneša limitu un maksājumu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attiecīgās kredītiestādes nodrošinātajos bankomātos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ja kredītiestāde šīs panta daļas 1. punktā noteiktās prasības izpildē balstās arī uz citas šā panta pirmajā daļā minētās kredītiestādes nodrošinātajiem bankomātiem – arī attiecīgās citas kredītiestādes nodrošinātajos bankomātos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Banka nosaka šā panta otrajā daļā minēto prasību skaitliskās vērtības, pieļaujamās atkāpes to izpildē, piemērošanas nosacījumus un kārtību, kādā Latvijas Banka pārbauda minēto prasību ievērošanu, kā arī prasības, termiņu un kārtību, kādā šā panta pirmajā daļā minētā kredītiestāde sagatavo un iesniedz Latvijas Bankai informāciju saistībā ar šā panta otrajā daļā minēto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 ne retāk kā reizi divos gados pārskata šā panta otrajā daļā minēto prasību skaitliskās vērtības, pieļaujamās atkāpes to izpildē un piemērošanas nosacījumus, ņemot vērā skaidrās naudas izmaksas pakalpojuma pieprasījuma izmaiņas, tirgū esošos skaidrās naudas izmaksas pakalpojuma nodrošināšanas veidus un alternatīvas, kā arī Latvijas Bankas novērtējumu attiecībā uz skaidrās naudas izmaksas pakalpojuma infrastruktūras izvietojuma un kapacitātes pietiekamību skaidrās naudas izmaksas pakalpojuma nodrošināšanai strauja pieprasījuma pieauguma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viennozīmīgi atbalsta likumprojekta mērķi- nodrošināt to, lai Latvijas teritorijā būtu pieejams pietiekoši plašs bankomātu tīkls, no kura bez kredītiestādes noteiktas komisijas maksas varētu izņemt noteiktu skaidras naudas summu, turklāt tie būtu izvietoti visā Latvijas teritorijā, arī mazāk blīvi apdzīvotu teritorijās dzīvojošajiem nodrošinot iespēju izņemt skaidro naudu, nebraucot lielus attālumus.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nosacījumus minimālajām prasībām būtu jāizdod Ministru kabinetam, nevis Latvijas Bankai. Latvijas Bankai ir jānosaka kompetence uzraudzīt un nodrošināt minimālo prasību īstenošanu. Tāpēc lūdzam 74.</w:t>
            </w:r>
            <w:r w:rsidR="00000000" w:rsidRPr="00000000" w:rsidDel="00000000">
              <w:rPr>
                <w:vertAlign w:val="superscript"/>
                <w:rtl w:val="0"/>
              </w:rPr>
              <w:t xml:space="preserve">4</w:t>
            </w:r>
            <w:r w:rsidR="00000000" w:rsidRPr="00000000" w:rsidDel="00000000">
              <w:rPr>
                <w:rtl w:val="0"/>
              </w:rPr>
              <w:t xml:space="preserve"> panta otrajā daļā aizstāt vārdus "Latvijas Banka" ar vārdiem "Ministru kabinets" attiecīgajos locījumos, kā arī aizstāt trešās un ceturtās daļas sākumā, atstājot Latvijas Bankai pārējos pienākumus, kas noteikti  trešajā daļā un ceturtajā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4</w:t>
            </w:r>
            <w:r w:rsidR="00000000" w:rsidRPr="00000000" w:rsidDel="00000000">
              <w:rPr>
                <w:rtl w:val="0"/>
              </w:rPr>
              <w:t xml:space="preserve"> pants. (1) Par kredītiestādi, kurai ir būtiska nozīme skaidrās naudas pieejamības nodrošināšanā Latvijā, ir atzīstama kredītiestāde, kura ir reģistrēta Latvijā vai ir ārvalstu kredītiestādes filiāle Latvijā vai citā dalībvalstī reģistrētas kredītiestādes filiāle Latvijā, un vienlaikus 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kredītiestāde Latvijā sniedz ar maksājumu kontu saistītus pakalpojumus Eiropas Savienības rezidentiem –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kredītiestādē atvērto klientu maksājumu kontu skaits iepriekšējā gada 31. decembrī veido vismaz piecus procentus no kopējā maksājumu kontu skaita Latvijā reģistrētajās kredītiestādēs, ārvalstu kredītiestāžu filiālēs Latvijā un citās dalībvalstīs reģistrēto kredītiestāžu filiālēs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kredītiestādē iekšzemes mājsaimniecību noguldījumi iepriekšējā gada 31. decembrī veido vismaz piecus procentus no kopējiem iekšzemes mājsaimniecību noguldījumiem Latvijā reģistrētajās kredītiestādēs, ārvalstu kredītiestāžu filiālēs Latvijā un citās dalībvalstīs reģistrēto kredītiestāžu filiālēs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kredītiestāde nodrošina, ka tās klientam sniegtie maksājumu pakalpojumi, kuru rezultātā tam ir iespējams izņemt skaidro naudu no maksājumu konta kredītiestādē (turpmāk – skaidrās naudas izmaksas pakalpojums), atbilst šādām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u w:val="single"/>
                <w:rtl w:val="0"/>
              </w:rPr>
              <w:t xml:space="preserve">Ministru kabineta  </w:t>
            </w:r>
            <w:r w:rsidR="00000000" w:rsidRPr="00000000" w:rsidDel="00000000">
              <w:rPr>
                <w:rtl w:val="0"/>
              </w:rPr>
              <w:t xml:space="preserve">noteiktā attālumā no jebkuras vietas Latvijas teritorijā klientam ir pieejams vismaz viens kredītiestādes vai jebkuras citas šā panta pirmajā daļā minētās kredītiestādes nodrošināts bankomāts, kurā klients var saņemt skaidrās naudas izmaksas pakalpojumu atbilstoši šīs panta daļas 4. 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kredītiestādes nodrošināto bankomātu skaits Latvijā nav mazāks par </w:t>
            </w:r>
            <w:r w:rsidR="00000000" w:rsidRPr="00000000" w:rsidDel="00000000">
              <w:rPr>
                <w:b w:val="1"/>
                <w:u w:val="single"/>
                <w:rtl w:val="0"/>
              </w:rPr>
              <w:t xml:space="preserve">Ministru kabineta  </w:t>
            </w:r>
            <w:r w:rsidR="00000000" w:rsidRPr="00000000" w:rsidDel="00000000">
              <w:rPr>
                <w:rtl w:val="0"/>
              </w:rPr>
              <w:t xml:space="preserve">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kredītiestādes nodrošinātais bankomāts ir klientam pieejams un darbojas </w:t>
            </w:r>
            <w:r w:rsidR="00000000" w:rsidRPr="00000000" w:rsidDel="00000000">
              <w:rPr>
                <w:b w:val="1"/>
                <w:u w:val="single"/>
                <w:rtl w:val="0"/>
              </w:rPr>
              <w:t xml:space="preserve">Ministru kabineta</w:t>
            </w:r>
            <w:r w:rsidR="00000000" w:rsidRPr="00000000" w:rsidDel="00000000">
              <w:rPr>
                <w:rtl w:val="0"/>
              </w:rPr>
              <w:t xml:space="preserve"> noteiktajā bankomātu darba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kredītiestāde bez maksas nodrošina tās klientam – fiziskai personai, kurai kredītiestāde izsniegusi maksājumu karti,  skaidrās naudas izmaksas pakalpojumu apmērā, kas nav mazāks par </w:t>
            </w:r>
            <w:r w:rsidR="00000000" w:rsidRPr="00000000" w:rsidDel="00000000">
              <w:rPr>
                <w:b w:val="1"/>
                <w:u w:val="single"/>
                <w:rtl w:val="0"/>
              </w:rPr>
              <w:t xml:space="preserve">Ministru kabineta</w:t>
            </w:r>
            <w:r w:rsidR="00000000" w:rsidRPr="00000000" w:rsidDel="00000000">
              <w:rPr>
                <w:rtl w:val="0"/>
              </w:rPr>
              <w:t xml:space="preserve"> noteikto mēneša limitu un maksājumu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attiecīgās kredītiestādes nodrošinātajos bankomātos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ja kredītiestāde šīs panta daļas 1. punktā noteiktās prasības izpildē balstās arī uz citas šā panta pirmajā daļā minētās kredītiestādes nodrošinātajiem bankomātiem – arī attiecīgās citas kredītiestādes nodrošinātajos bankomātos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u w:val="single"/>
                <w:rtl w:val="0"/>
              </w:rPr>
              <w:t xml:space="preserve">Ministru kabinets</w:t>
            </w:r>
            <w:r w:rsidR="00000000" w:rsidRPr="00000000" w:rsidDel="00000000">
              <w:rPr>
                <w:rtl w:val="0"/>
              </w:rPr>
              <w:t xml:space="preserve">  nosaka šā panta otrajā daļā minēto prasību skaitliskās vērtības, pieļaujamās atkāpes to izpildē, piemērošanas nosacījumus un kārtību, kādā Latvijas Banka pārbauda minēto prasību ievērošanu, kā arī prasības, termiņu un kārtību, kādā šā panta pirmajā daļā minētā kredītiestāde sagatavo un iesniedz Latvijas Bankai informāciju saistībā ar šā panta otrajā daļā minēto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u w:val="single"/>
                <w:rtl w:val="0"/>
              </w:rPr>
              <w:t xml:space="preserve">Ministru kabints</w:t>
            </w:r>
            <w:r w:rsidR="00000000" w:rsidRPr="00000000" w:rsidDel="00000000">
              <w:rPr>
                <w:rtl w:val="0"/>
              </w:rPr>
              <w:t xml:space="preserve">  ne retāk kā reizi divos gados pārskata šā panta otrajā daļā minēto prasību skaitliskās vērtības, pieļaujamās atkāpes to izpildē un piemērošanas nosacījumus, ņemot vērā skaidrās naudas izmaksas pakalpojuma pieprasījuma izmaiņas, tirgū esošos skaidrās naudas izmaksas pakalpojuma nodrošināšanas veidus un alternatīvas, kā arī Latvijas Bankas novērtējumu attiecībā uz skaidrās naudas izmaksas pakalpojuma infrastruktūras izvietojuma un kapacitātes pietiekamību skaidrās naudas izmaksas pakalpojuma nodrošināšanai strauja pieprasījuma pieauguma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Latvijas Banka ir autonoma valsts pārvaldes iestāde, kura nav padota Ministru kabinetam un savas funkcijas īsteno patstāvīgi (skat. Satversmes tiesas 2006. gada 16. oktobra sprieduma lietā Nr. 2006-05-01 16.3. un 16.4. punktu; Satversmes tiesas 2016. gada 2. marta sprieduma lietā Nr. 2015-11-03 21.1. punktu). Vienlaikus norādot, ka Satversme pieļauj autonomu valsts pārvaldes iestāžu tiesības izdot ārējos normatīvos aktus pārvaldes darbības ietvaros, ja šādas iestādes ir atbilstoši demokrātiski leģitimētas. Satversmes tiesa ir secinājusi, ka Latvijas Bankai ir tiesības izdot ārējos normatīvos aktus atbilstoši pilnvarojumam tai ar likumu piešķirtās kompetences jomā attiecībā uz konkrētu tiesību subjektu loku. (Skat. Satversmes tiesas 2016. gada 2. marta sprieduma lietā Nr. 2015-11-03 21.1. un 22.2.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Bankas likuma 3. panta pirmo daļu un 8. panta pirmo daļu Latvijas Banka ir neatkarīga savu lēmumu pieņemšanā un to īstenošanā, kā arī nav institucionālā un funkcionālā padotībā valsts un pašvaldību institūcijām,  kā arī atbilstoši likumos noteiktajam pilnvarojumam tā izdod ārējos normatīvos aktus —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un turpmākajiem apsvērumiem  iebildums netiek ņemts vērā, jo tas neatbilst pastāvošajam kompetences sadalījumam kredītiestāžu sniegto finanšu pakalpojumu regulēšanas jomā un nepamato, kāpēc konkrētajā gadījumā pastāvošais kompetences sadalījums būtu jāmaina. Vēršam uzmanību, ka likumos, kuri regulē kredītiestāžu darbību finanšu pakalpojumu sniegšanā, pilnvarojums noteikt kredītiestāžu darbību regulējošās prasības sistemātiski tiek paredzēts Latvijas Bankai, nevis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uzsverams, ka šajā likumprojektā paredzētie skaidrās naudas izmaksas pakalpojumi ietilpst Nacionālās drošības likuma 22.</w:t>
            </w:r>
            <w:r w:rsidR="00000000" w:rsidRPr="00000000" w:rsidDel="00000000">
              <w:rPr>
                <w:vertAlign w:val="superscript"/>
                <w:rtl w:val="0"/>
              </w:rPr>
              <w:t xml:space="preserve">3</w:t>
            </w:r>
            <w:r w:rsidR="00000000" w:rsidRPr="00000000" w:rsidDel="00000000">
              <w:rPr>
                <w:rtl w:val="0"/>
              </w:rPr>
              <w:t xml:space="preserve"> panta pirmajā daļā minētajos kritiskajos finanšu pakalpojumos, kuru minimālo apjomu valsts apdraudējuma gadījumā atbilstoši Nacionālās drošības likuma 22.</w:t>
            </w:r>
            <w:r w:rsidR="00000000" w:rsidRPr="00000000" w:rsidDel="00000000">
              <w:rPr>
                <w:vertAlign w:val="superscript"/>
                <w:rtl w:val="0"/>
              </w:rPr>
              <w:t xml:space="preserve">3</w:t>
            </w:r>
            <w:r w:rsidR="00000000" w:rsidRPr="00000000" w:rsidDel="00000000">
              <w:rPr>
                <w:rtl w:val="0"/>
              </w:rPr>
              <w:t xml:space="preserve"> panta trešajai daļai nosaka Latvijas Banka. Līdz ar to, ja tiktu ņemts vērā Latvijas Pašvaldību savienības iebildums, tad veidotos sistemātiski nepareizs un neefektīvs kompetences sadalījums, jo vienus un tos pašus skaidras naudas maksājumus valsts apdraudējuma gadījumam regulētu Latvijas Banka, bet citos – Ministru kabinets. Tāpat vēršam uzmanību uz to, ka likumprojektā paredzētais deleģējums Latvijas Bankai ir likumsakarīgs turpinājums Latvijas Bankas likuma 5. panta pirmās daļas 11. punktā un 38. panta piektajā daļā jau piešķirtajam uzdevumam Latvijas Bankai – veicināt euro skaidrās naudas pieejamību Latvijā, t.sk. sadarbībā ar skaidrās naudas apritē Latvijā iesaistītajiem tiesību subjektiem izstrādāt un īstenot pasākumus pietiekamas euro skaidrās naudas aprites nodrošināšanai Latvijā. Turklāt, ņemot vērā jau minēto Latvijas Bankas likuma 3. panta pirmajā punktā noteikto Latvijas Bankas neatkarības principu (“Tā ir neatkarīga savu lēmumu pieņemšanā un to īstenošanā, kā arī nav institucionālā un funkcionālā padotībā valsts un pašvaldību institūcijām.”), Ministru kabinetam nevar deleģēt noteikt kārtību, kādā Latvijas Bankai jāpārbauda kredītiestādēm noteikto skaidrās naudas izmaksas pakalpojuma prasību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Latvijas Pašvaldību savienība tāpat kā jebkura cita institūcija vai persona ir tiesīga iesniegt priekšlikumus par Latvijas Bankas noteikumiem, t.sk. sabiedrības līdzdalības procesa ietvaros pirms noteikumu projektu apstiprināšanas.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Ja šā likuma 74.</w:t>
            </w:r>
            <w:r w:rsidR="00000000" w:rsidRPr="00000000" w:rsidDel="00000000">
              <w:rPr>
                <w:vertAlign w:val="superscript"/>
                <w:rtl w:val="0"/>
              </w:rPr>
              <w:t xml:space="preserve">4</w:t>
            </w:r>
            <w:r w:rsidR="00000000" w:rsidRPr="00000000" w:rsidDel="00000000">
              <w:rPr>
                <w:rtl w:val="0"/>
              </w:rPr>
              <w:t xml:space="preserve"> panta pirmajā daļā minētā kredītiestāde nenodrošina skaidrās naudas izmaksas pakalpojuma atbilstību šā likuma 74.</w:t>
            </w:r>
            <w:r w:rsidR="00000000" w:rsidRPr="00000000" w:rsidDel="00000000">
              <w:rPr>
                <w:vertAlign w:val="superscript"/>
                <w:rtl w:val="0"/>
              </w:rPr>
              <w:t xml:space="preserve">4</w:t>
            </w:r>
            <w:r w:rsidR="00000000" w:rsidRPr="00000000" w:rsidDel="00000000">
              <w:rPr>
                <w:rtl w:val="0"/>
              </w:rPr>
              <w:t xml:space="preserve"> panta otrajā daļā noteiktajām prasībām, Latvijas Banka ir tiesīga piemērot kredītiestādei sankciju – brīdinājumu vai soda naudu no 1 400</w:t>
            </w:r>
            <w:r w:rsidR="00000000" w:rsidRPr="00000000" w:rsidDel="00000000">
              <w:rPr>
                <w:i w:val="1"/>
                <w:rtl w:val="0"/>
              </w:rPr>
              <w:t xml:space="preserve"> euro</w:t>
            </w:r>
            <w:r w:rsidR="00000000" w:rsidRPr="00000000" w:rsidDel="00000000">
              <w:rPr>
                <w:rtl w:val="0"/>
              </w:rPr>
              <w:t xml:space="preserve"> līdz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pārskatīt projekta 3. pantā ietverto pārkāpuma regulējumu. Šobrīd projekta anotācijā esošais skaidrojums nepamato, ka šāds pārkāpums ir nepieciešams un pieļaujams. Ja pārkāpums tiks saglabāts, projekta anotācijā iekļaujams arī soda veida un apmēra (tostarp naudas soda maksimālā un minimālā apmēra) izvēles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anotācijā ir norādīts: "Minētās tiesību normas nepieciešamības un pieļaujamības izvērtējums veikts, pārliecinoties par atbilstību visiem administratīvo pārkāpumu kodifikācijas ieviešanas praksē nostiprinātajiem kritērijiem: 1) administratīvā akta prioritātes principam, 2) nodarījuma bīstamībai, 3) sabiedriskajam kaitīgumam, 4) nodarījuma sekām, 5) nodarījuma aktualitātei, 6) nodarījuma attiecināmībai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Vienkārša norāde, ka pārkāpuma nepieciešamība un pieļaujamība ir vērtēta atbilstoši noteiktiem kritērijiem, pati par sevi neko nepamato. Lai citas personas tiešām varētu pārliecināties par to, ka pārkāpums ir nepieciešams un pieļaujams, ir jābūt pieejamam argumentētam izvērtējumam. Līdz ar to projekta anotācijā iekļaujams pilnvērtīgs, sistēmisks un viegli uztverams administratīvās atbildības kritēriju izvērtējums par katru pārkāpumu. Šobrīd projekta anotācijā daļēji ir atrodams skaidrojums saistībā ar atsevišķiem kritērijiem, taču tas nav sistēmisks un nav skaidri redzams, kurš tieši kritērijs attiecīgajā gadījumā ir 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Administratīvās atbildības nepieciešamības un pieļaujamības kritēriji laika gaitā ir attīstīti. Šobrīd izvērtējami vismaz šādi kritēriji: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 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sal. Informatīvais ziņojums "Nozaru administratīvo pārkāpumu kodifikācijas ieviešanas sistēmas īstenošana", 03.03.2020., 2. lpp. Pieejams: http://polsis.mk.gov.lv/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anotācijā norādīts: "Likumprojektā  paredzētās sankcijas paredzēts piemērot vienlaikus ar Kredītiestāžu likuma 196. panta 1.</w:t>
            </w:r>
            <w:r w:rsidR="00000000" w:rsidRPr="00000000" w:rsidDel="00000000">
              <w:rPr>
                <w:vertAlign w:val="superscript"/>
                <w:rtl w:val="0"/>
              </w:rPr>
              <w:t xml:space="preserve">1</w:t>
            </w:r>
            <w:r w:rsidR="00000000" w:rsidRPr="00000000" w:rsidDel="00000000">
              <w:rPr>
                <w:rtl w:val="0"/>
              </w:rPr>
              <w:t xml:space="preserve"> daļā minētā administratīvā pasākuma (pieprasīt, lai kredītiestāde vai par pārkāpumu atbildīgā persona nekavējoties izbeidz attiecīgo rīcību) piemērošanu, tādējādi ievērojot administratīvā akta izdošanas prioritātes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skaidrojums un paredzētā regulējuma piemērošana ir pretēja administratīvā akta prioritātes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 Latvijā valsts pārvaldei ir raksturīgi meklēt iespēju personu sodīt par pienākumu nepildīšanu, bet nereti netiek saskatīta iespēja panākt pienākumu izpildi ar administratīvā procesa līdzekļiem (</w:t>
            </w:r>
            <w:r w:rsidR="00000000" w:rsidRPr="00000000" w:rsidDel="00000000">
              <w:rPr>
                <w:i w:val="1"/>
                <w:rtl w:val="0"/>
              </w:rPr>
              <w:t xml:space="preserve">Laveniece-Straupmane N., Briede J., Liholaja V., Judins A., Ziemane I. Ārkārtējā situācija: juristu viedokļi par tiesisko regulējumu un tā piemērošanu. Jurista Vārds, 17.03.2020., Nr. 11</w:t>
            </w:r>
            <w:r w:rsidR="00000000" w:rsidRPr="00000000" w:rsidDel="00000000">
              <w:rPr>
                <w:rtl w:val="0"/>
              </w:rPr>
              <w:t xml:space="preserve">). Tādējādi, ja pienākuma īstenošanu var panākt izdodot administratīvo aktu vai ar citiem nesodoša rakstura administratīvi tiesiskiem līdzekļiem, tad administratīvā atbildība pamatā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princips atklāj pieeju, kā likumdevējs izvēlas, vai konkrētu prettiesisku rīcību novērst ar nesodoša rakstura administratīvi tiesisku ietekmēšanas līdzekļu palīdzību, vai jau paredzēt iespēju piemērot administratīvu sodu.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piemērošanas iespēja, kā tas iepriekš minēts, paredzama par tādiem pārkāpumiem, kuri vairs nav principiāli novēršami un ir ar augstu bīstamības pakāpi (piemēram, salīdzinoši daudzu ceļu satiksmes noteikumu pārkāpumu gadījumā personas rīcība ir neatgriezeniska un ir ar augstu bīstamības pakāpi). Tomēr, ja attiecīgā pienākuma īstenošanu var joprojām panākt (tostarp arī novērst pārkāpuma sekas, atjaunot pirms pārkāpuma esošo stāvokli utt.) ar administratīvā akta vai cita nesodoša rakstura administratīvi tiesiska līdzekļa palīdzību, administratīvā atbildība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kontekstā, ja administratīvais pasākums – pieprasīt, lai persona nekavējoties izbeidz attiecīgo rīcību, – nozīmē, ka šai personai tiek noteikts pienākums novērst pārkāpumu un šā pienākuma izpildi var panākt piespiedu kārtā, tad tipiskā gadījumā sankcija jeb sods nav nepieciešams. Pirmšķietami projekta 2. pantā (grozāmā likuma 74.</w:t>
            </w:r>
            <w:r w:rsidR="00000000" w:rsidRPr="00000000" w:rsidDel="00000000">
              <w:rPr>
                <w:vertAlign w:val="superscript"/>
                <w:rtl w:val="0"/>
              </w:rPr>
              <w:t xml:space="preserve">4</w:t>
            </w:r>
            <w:r w:rsidR="00000000" w:rsidRPr="00000000" w:rsidDel="00000000">
              <w:rPr>
                <w:rtl w:val="0"/>
              </w:rPr>
              <w:t xml:space="preserve"> panta otrajā daļā) iekļauto bankomātu pieejamības nodrošināšanas pienākumu pārkāpumi ir novēršami.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arī projekta anotācijā ir ietverts apraksts par projektā paredzētajiem soda veidiem un apmēru, tas neatklāj soda apmēra izvēles pamatojumu. Piemēram, projektā anotācijā iekļautais skaidrojums nepamato, kāpēc ir izvēlēts tieši tāds naudas soda minimālais un maksimālais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Likumdevēja noteiktajam soda apmēram ir jāatbilst pārkāpuma raksturam, tostarp soda apmēra minimālajai un maksimālajai robežai (</w:t>
            </w:r>
            <w:r w:rsidR="00000000" w:rsidRPr="00000000" w:rsidDel="00000000">
              <w:rPr>
                <w:i w:val="1"/>
                <w:rtl w:val="0"/>
              </w:rPr>
              <w:t xml:space="preserve">sal. Satversmes tiesas 2021. gada 29. decembra sprieduma lietā Nr. 2021-09-01 19.3. un 24. punkts</w:t>
            </w:r>
            <w:r w:rsidR="00000000" w:rsidRPr="00000000" w:rsidDel="00000000">
              <w:rPr>
                <w:rtl w:val="0"/>
              </w:rPr>
              <w:t xml:space="preserve">). Viens no soda samērīguma un soda veida un apmēra izvēles pamatkritērijiem ir pārkāpuma smagums un tā iespējamās sekas (</w:t>
            </w:r>
            <w:r w:rsidR="00000000" w:rsidRPr="00000000" w:rsidDel="00000000">
              <w:rPr>
                <w:i w:val="1"/>
                <w:rtl w:val="0"/>
              </w:rPr>
              <w:t xml:space="preserve">Cafaggi F., Iamiceli P. The Principles of Effectiveness, Proportionality and Dissuasiveness in the Enforcement of EU Consumer Law: The Impact of a Triad on the Choice of Civil Remedies and Administrative Sanctions. European Review of Private Law, 2017, Vol. 25, Iss. 3, p. 599</w:t>
            </w:r>
            <w:r w:rsidR="00000000" w:rsidRPr="00000000" w:rsidDel="00000000">
              <w:rPr>
                <w:rtl w:val="0"/>
              </w:rPr>
              <w:t xml:space="preserve">). Lai to izvērtētu, citstarp nozīmīgs ir ar attiecīgajām tiesību normām aizsargātā tiesiskā labuma (interešu) svarīgums un pārkāpuma sabiedriskais nosodījums (</w:t>
            </w:r>
            <w:r w:rsidR="00000000" w:rsidRPr="00000000" w:rsidDel="00000000">
              <w:rPr>
                <w:i w:val="1"/>
                <w:rtl w:val="0"/>
              </w:rPr>
              <w:t xml:space="preserve">Ģenerāladvokāta Damaso Ruisa-Harabo Kolomera 2005. gada 26. maija secinājumu lietā C-176/03 46. punkts</w:t>
            </w:r>
            <w:r w:rsidR="00000000" w:rsidRPr="00000000" w:rsidDel="00000000">
              <w:rPr>
                <w:rtl w:val="0"/>
              </w:rPr>
              <w:t xml:space="preserve">). Protams, šie kritēriji neļauj precīzi noteikt (aprēķināt) pārkāpumam atbilstošu soda veidu vai apmēru, tie vairāk vērtējoši raksturo pārkāpumu salīdzinājumā ar citiem pārkāpumiem (</w:t>
            </w:r>
            <w:r w:rsidR="00000000" w:rsidRPr="00000000" w:rsidDel="00000000">
              <w:rPr>
                <w:i w:val="1"/>
                <w:rtl w:val="0"/>
              </w:rPr>
              <w:t xml:space="preserve">Evaluation Study on the Implementation of Directive 2008/99/EC on the Protection of the Environment through Criminal Law by Member States. Brussels: 2014, p. 81</w:t>
            </w:r>
            <w:r w:rsidR="00000000" w:rsidRPr="00000000" w:rsidDel="00000000">
              <w:rPr>
                <w:rtl w:val="0"/>
              </w:rPr>
              <w:t xml:space="preserve">). Soda samērīgumu ietekmē arī citi kritēriji, piemēram, pārkāpuma rezultātā iespējamais iegūtais labums (ekonomiskais izdevīgums), kā arī tas, vai sods nerada pārmērīgu apgrūtinājumu personai, kurai tas 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Pārkāpuma izdarīšana nedrīkst būt ekonomiski izdevīga, ja salīdzina pārkāpuma rezultātā iegūto labumu un par pārkāpumu iespējamo sodu. Soda apmēra un pārkāpuma rezultātā iegūtā labuma attiecība, kā arī reālā iespēja, ka pārkāpums vispār tiks atklāts un sods piemērots, ir kritēriji, kas raksturo arī soda preventīvo (atturošo) iedarbību (</w:t>
            </w:r>
            <w:r w:rsidR="00000000" w:rsidRPr="00000000" w:rsidDel="00000000">
              <w:rPr>
                <w:i w:val="1"/>
                <w:rtl w:val="0"/>
              </w:rPr>
              <w:t xml:space="preserve">Faure M. Effective, Proportional and Dissuasive Penalties in the Implementation of the Environmental Crime and Shipsource Pollution Directives: Questions and Challenges. European Energy and Environmental Law Review, 2010, p. 260</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par pārkāpumu ir paredzēts brīdinājums, tad naudas soda īpaša minimālā robeža parasti nav paredzama. Tā kā soda apmēram ir jāatbilst pārkāpuma raksturam, tad šajā aspektā nozīme ir dažādajām iespējamajām pārkāpuma izpausmēm. Ja projektā paredz naudas soda (jeb soda naudas) īpašu minimālo apmēru, tad jābūt pārliecībai, ka pārkāpuma iespējamām izpausmēm atbilst potenciālā piemērotāja izvēle starp brīdinājumu un soda naudu 1400 </w:t>
            </w:r>
            <w:r w:rsidR="00000000" w:rsidRPr="00000000" w:rsidDel="00000000">
              <w:rPr>
                <w:i w:val="1"/>
                <w:rtl w:val="0"/>
              </w:rPr>
              <w:t xml:space="preserve">euro</w:t>
            </w:r>
            <w:r w:rsidR="00000000" w:rsidRPr="00000000" w:rsidDel="00000000">
              <w:rPr>
                <w:rtl w:val="0"/>
              </w:rPr>
              <w:t xml:space="preserve"> apmērā. Citiem vārdiem, pārkāpuma izpausmes nekādā gadījumā nevar būt tādas, ka pārkāpuma raksturs atbilstu soda naudai, piemēram, 100, 500 vai 1000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iepriekš minētā izvērtējuma rezultātā tomēr tiek secināts, ka projekta 3. pants ir saglabājams, tad precizējama šā panta redakcija, ievērojot vispārpieņemtās administratīvo pārkāpumu definēšanas prasības. Neskatoties uz to, ka līdzīgs regulējums Kredītiestāžu likumā ir sastopams, normai, kura noteic pārkāpumu, ir  skaidri, saprotami un paredzami vārdiskā formā jānorāda visas nepieciešamās pārkāpuma pazīmes, pat ja tās ir formulētas salīdzinoši vispārīgi.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Projekta 3. pantā nav nepieciešama iekšējā atsauce "šā likuma 74.</w:t>
            </w:r>
            <w:r w:rsidR="00000000" w:rsidRPr="00000000" w:rsidDel="00000000">
              <w:rPr>
                <w:vertAlign w:val="superscript"/>
                <w:rtl w:val="0"/>
              </w:rPr>
              <w:t xml:space="preserve">4</w:t>
            </w:r>
            <w:r w:rsidR="00000000" w:rsidRPr="00000000" w:rsidDel="00000000">
              <w:rPr>
                <w:rtl w:val="0"/>
              </w:rPr>
              <w:t xml:space="preserve"> panta pirmajā daļā minētā kredītiestāde". Tā kā atbildību var piemērot vien par prettiesisku rīcību, tad jau ārpus administratīvās atbildības normas esošais regulējums noteic, kādām kredītiestādēm ir attiecīgie pienākumi.  Līdz ar to pat nav nepieciešams tik detalizēts atbildības regulējums. Tomēr, ja vēlas precīzāk norādīt šīs kredītiestādes, tad var izmantot atsaucē minētajā panta daļā izmantoto apzīmējumu, proti, "kredītiestāde, kurai ir būtiska nozīme skaidrās naudas pieejamības nodrošināšanā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 juridiskās tehnikas skatpunkta, atsauces ir jālieto saprātīgi un pamatoti. To pārmērīga lietošana var sarežģīt likuma satura uztveri (</w:t>
            </w:r>
            <w:r w:rsidR="00000000" w:rsidRPr="00000000" w:rsidDel="00000000">
              <w:rPr>
                <w:i w:val="1"/>
                <w:rtl w:val="0"/>
              </w:rPr>
              <w:t xml:space="preserve">Normatīvo aktu projektu izstrādes rokasgrāmata, https://tai.mk.gov.lv/book/1/chapter/98</w:t>
            </w:r>
            <w:r w:rsidR="00000000" w:rsidRPr="00000000" w:rsidDel="00000000">
              <w:rPr>
                <w:rtl w:val="0"/>
              </w:rPr>
              <w:t xml:space="preserve">). Šajā gadījumā iekšējā atsauce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Administratīvās atbildības regulējumu neveido, izmantojot atsauces uz citām likuma vienībām ("šā likuma 74.</w:t>
            </w:r>
            <w:r w:rsidR="00000000" w:rsidRPr="00000000" w:rsidDel="00000000">
              <w:rPr>
                <w:vertAlign w:val="superscript"/>
                <w:rtl w:val="0"/>
              </w:rPr>
              <w:t xml:space="preserve">4</w:t>
            </w:r>
            <w:r w:rsidR="00000000" w:rsidRPr="00000000" w:rsidDel="00000000">
              <w:rPr>
                <w:rtl w:val="0"/>
              </w:rPr>
              <w:t xml:space="preserve"> panta otrajā daļā noteiktajām prasībām"). Informatīvas atsauces tiek pieļautas vien gadījumos, kad pārkāpums ir saistīts ES regulu īstenošanu, taču arī tādā gadījumā pārkāpumam jābūt pietiekami precīzam, skaidram un saprotamam, ja attiecīgo atsauci izņemtu. Projektā varētu būt paredzēta atbildība, piemēram, par "skaidrās naudas izmaksas pakalpojuma nenodrošināšanu". Taču, ja tas ir iespējams, varētu kodolīgi norādīt arī precīzākas pārkāpuma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Atsauču lietojums sarežģī regulējuma uztveramību, prasa ārkārtīgi rūpīgu pieeju likuma vai ar to saistīto ārējo tiesību aktu izstrādē. Pastāv risks, ka pārkāpuma saturs neapzināti varētu tikt ietekmēts grozījumu rezultātā. Arī no juridiskās tehnikas viedokļa atsauču lietojumam jābūt tādam, lai projekta regulējumu varētu vispārīgi saprast, neizlasot atsaucē norādīto cita normatīvā akta vienību. Līdz ar to šādas atsauces pārkāpuma definējumā kļūst liekas. Pārkāpuma satura skaidrojums, tostarp korespondējošo normu norāde, ir ietverams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iebildumam ir pārskatīta Likumprojekta 3.pantā (par Likuma 198. panta papildināšanu ar trīspadsmito daļu) ietvertais pārkāpuma regulējums un anotācijā dots atbilstošs skaidrojums. Ņemot vērā atzinumā izteiktos iebildumus, Likumprojekta anotācija papildināta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papildus informāciju par administratīvo sankciju noteikšanas nepieciešamību un pieļaujamību, t.sk. administratīvās atbildības kritēriju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skaidrojumu par administratīvo sankciju veida un apmēra izvēli.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nepiekrītam atzinumā paustajam, ka Likumprojekta 2. pantā (Likuma 74</w:t>
            </w:r>
            <w:r w:rsidR="00000000" w:rsidRPr="00000000" w:rsidDel="00000000">
              <w:rPr>
                <w:vertAlign w:val="superscript"/>
                <w:rtl w:val="0"/>
              </w:rPr>
              <w:t xml:space="preserve">.4</w:t>
            </w:r>
            <w:r w:rsidR="00000000" w:rsidRPr="00000000" w:rsidDel="00000000">
              <w:rPr>
                <w:rtl w:val="0"/>
              </w:rPr>
              <w:t xml:space="preserve"> panta otrajā daļā) iekļauto bankomātu pieejamības nodrošināšanas pienākumu pārkāpumi ir novēršami un tāpēc administratīvā atbildība nav paredzama. Ar administratīvā akta izdošanu var panākt pārkāpuma izbeigšanu, bet nevar novērst pieļautā pārkāpuma sekas, kuras šajā likumprojektā paredzēto prasību kontekstā gandrīz vienmēr būs principiāli nenovēršamas (sīkāku skaidrojumu sk.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atzinumā minētos juridiskās tehnikas priekšlikumus, precizēta arī Likumprojekta 3. panta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izslēdzot vārdus un atsauci "šā likuma 74.</w:t>
            </w:r>
            <w:r w:rsidR="00000000" w:rsidRPr="00000000" w:rsidDel="00000000">
              <w:rPr>
                <w:vertAlign w:val="superscript"/>
                <w:rtl w:val="0"/>
              </w:rPr>
              <w:t xml:space="preserve">4</w:t>
            </w:r>
            <w:r w:rsidR="00000000" w:rsidRPr="00000000" w:rsidDel="00000000">
              <w:rPr>
                <w:rtl w:val="0"/>
              </w:rPr>
              <w:t xml:space="preserve"> panta pirmajā daļā minētā";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aizstājot  vārdus un atsauci "nenodrošina skaidrās naudas izmaksas pakalpojuma atbilstību šā likuma 74.</w:t>
            </w:r>
            <w:r w:rsidR="00000000" w:rsidRPr="00000000" w:rsidDel="00000000">
              <w:rPr>
                <w:vertAlign w:val="superscript"/>
                <w:rtl w:val="0"/>
              </w:rPr>
              <w:t xml:space="preserve">4</w:t>
            </w:r>
            <w:r w:rsidR="00000000" w:rsidRPr="00000000" w:rsidDel="00000000">
              <w:rPr>
                <w:rtl w:val="0"/>
              </w:rPr>
              <w:t xml:space="preserve"> panta otrajā daļā noteiktajām prasībām" ar vārdiskā formā izteiktām pārkāpuma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"118. Šā likuma 74.</w:t>
            </w:r>
            <w:r w:rsidR="00000000" w:rsidRPr="00000000" w:rsidDel="00000000">
              <w:rPr>
                <w:vertAlign w:val="superscript"/>
                <w:rtl w:val="0"/>
              </w:rPr>
              <w:t xml:space="preserve">4 </w:t>
            </w:r>
            <w:r w:rsidR="00000000" w:rsidRPr="00000000" w:rsidDel="00000000">
              <w:rPr>
                <w:rtl w:val="0"/>
              </w:rPr>
              <w:t xml:space="preserve">pants un 198. panta trīspadsmitā daļa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Latvijas Banka līdz 2024. gada 1. septembrim izdod šā likuma 74.</w:t>
            </w:r>
            <w:r w:rsidR="00000000" w:rsidRPr="00000000" w:rsidDel="00000000">
              <w:rPr>
                <w:vertAlign w:val="superscript"/>
                <w:rtl w:val="0"/>
              </w:rPr>
              <w:t xml:space="preserve">4</w:t>
            </w:r>
            <w:r w:rsidR="00000000" w:rsidRPr="00000000" w:rsidDel="00000000">
              <w:rPr>
                <w:rtl w:val="0"/>
              </w:rPr>
              <w:t xml:space="preserve"> panta trešajā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Normatīvos aktus, kas nodrošina privātpersonu tiesības, būtu jāizdod Saeimai un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w:t>
            </w:r>
            <w:r w:rsidR="00000000" w:rsidRPr="00000000" w:rsidDel="00000000">
              <w:rPr>
                <w:b w:val="1"/>
                <w:u w:val="single"/>
                <w:rtl w:val="0"/>
              </w:rPr>
              <w:t xml:space="preserve">Ministru kabinets</w:t>
            </w:r>
            <w:r w:rsidR="00000000" w:rsidRPr="00000000" w:rsidDel="00000000">
              <w:rPr>
                <w:rtl w:val="0"/>
              </w:rPr>
              <w:t xml:space="preserve">  līdz 2024. gada 1. septembrim izdod šā likuma 74.</w:t>
            </w:r>
            <w:r w:rsidR="00000000" w:rsidRPr="00000000" w:rsidDel="00000000">
              <w:rPr>
                <w:vertAlign w:val="superscript"/>
                <w:rtl w:val="0"/>
              </w:rPr>
              <w:t xml:space="preserve">4</w:t>
            </w:r>
            <w:r w:rsidR="00000000" w:rsidRPr="00000000" w:rsidDel="00000000">
              <w:rPr>
                <w:rtl w:val="0"/>
              </w:rPr>
              <w:t xml:space="preserve"> panta trešajā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normatīvie akti un tiesību doktrīna neparedz tādu principu, ka normatīvos aktus, kas nodrošina privātpersonu tiesības, būtu jāizdod tikai Saeimai un Ministru kabinetam. Spēkā esošais normatīvais regulējums apliecina, ka arī tādas atvasinātās publiskās personas kā pašvaldības un Latvijas Banka tām noteikto autonomo valsts pārvaldes jomu ietvaros atbilstoši likumdevēja pilnvarojumam var izdot ārējos normatīvos aktus, t.sk. tādus, kuri tieši nosaka vai ietekmē privātpersonu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Banka ir atvasināta publiska persona (Latvijas Bankas likuma 3. panta pirmā daļa) un atbilstoši Latvijas Bankas likumā un citos likumos noteiktajam pilnvarojumam izdod ārējos normatīvos aktus — noteikumus (Latvijas Bankas likuma 8. panta pirmā daļa). Savukārt atbilstoši Oficiālo publikāciju un tiesiskās informācijas likuma 9. panta otrajai daļai ārējie normatīvie akti, kurus savas autonomās kompetences jautājumos izdevusi atvasināta publisko tiesību juridiskā persona (autonoms publisko tiesību subjekts), juridiskā spēka hierarhijā pielīdzināmi Ministru kabineta noteikumiem, ja likums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arī šī izziņas (tabulas) 1. punktā minēto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Ja kredītiestāde nenodrošina bankomātu pieejamību atbilstoši normatīvajos aktos noteiktajām attāluma, skaita vai darba laika prasībām vai nenodrošina bez maksas tās klientam – fiziskai personai, kurai kredītiestāde izsniegusi maksājumu karti, skaidrās naudas izmaksas pakalpojumu normatīvajos aktos noteiktajā apmērā, Latvijas Banka ir tiesīga piemērot kredītiestādei sankciju – brīdinājumu vai soda naudu no 1 400 </w:t>
            </w:r>
            <w:r w:rsidR="00000000" w:rsidRPr="00000000" w:rsidDel="00000000">
              <w:rPr>
                <w:i w:val="1"/>
                <w:rtl w:val="0"/>
              </w:rPr>
              <w:t xml:space="preserve">euro</w:t>
            </w:r>
            <w:r w:rsidR="00000000" w:rsidRPr="00000000" w:rsidDel="00000000">
              <w:rPr>
                <w:rtl w:val="0"/>
              </w:rPr>
              <w:t xml:space="preserve"> līdz 50 000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Aicinām precizēt projektu un tā anotāciju, izvairoties no liekvārdības, administratīvās atbildības kritērijiem un soda apmēra izvēles pamatojumam neatbilstošiem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Pārkāpuma definējumā nav nepieciešams norādīt tādas pazīmes kā "atbilstoši normatīvajos aktos noteiktajām [prasībām]" vai "normatīvajos aktos noteiktajā [apmērā]". Ir skaidrs, ka pienākumus, par kuru neievērošanu var piemērot sodu, noteic ārējie normatīvie tiesību akti. Līdz ar to šāda veida norādes ir liekvārdība. Īpaša norāde būtu vien nepieciešama izņēmuma gadījumos, piemēram, tad, ja atbildība būtu paredzēta par administratīvā akta nosacījumu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anotācijā norādīts: "Ņemot vērā to, ka Latvijas Banka administratīvās sankcijas finanšu tirgus dalībniekiem, t.sk. kredītiestādēm, piemēro Administratīvā procesa likumā noteiktajā kārtībā, gan administratīvā akta izdošana, gan administratīvo sankciju piemērošana ir iespējama vienas administratīvās lietas ietvaros. Līdz ar to par vieniem un tiem pašiem faktiskajiem apstākļiem nav nepieciešams uzsākt divus dažādus procesus, kas būtu pakļauti dažādu tiesu jurisdikcijai. Likumprojektā noteikto sankciju paredzēts piemērot pēc vai vienlaikus ar Kredītiestāžu likuma 196. panta 1.</w:t>
            </w:r>
            <w:r w:rsidR="00000000" w:rsidRPr="00000000" w:rsidDel="00000000">
              <w:rPr>
                <w:vertAlign w:val="superscript"/>
                <w:rtl w:val="0"/>
              </w:rPr>
              <w:t xml:space="preserve">1</w:t>
            </w:r>
            <w:r w:rsidR="00000000" w:rsidRPr="00000000" w:rsidDel="00000000">
              <w:rPr>
                <w:rtl w:val="0"/>
              </w:rPr>
              <w:t xml:space="preserve"> daļā minētā administratīvā pasākuma (pieprasīt, lai kredītiestāde vai par pārkāpumu atbildīgā persona nekavējoties izbeidz attiecīgo rīcību) piemērošanas, tādējādi ievērojot administratīvā akta izdošanas prioritātes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Šeit minētais skaidrojums nav attiecināms uz administratīvā akta prioritātes principu. Tā būtība ir saistīta ar to, ka sodu nepiemēro, ja pienākuma izpildi var panākt ar nesodoša rakstura administratīvi tiesiskiem pasākumiem. Tam, kādu procesa veidu izmanto pašam par sevi nav izšķirošas nozīmes.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Soda piemērošana vienlaikus ar pienākuma noteikšanu izbeigt prettiesisko rīcību vai pēc tā būtībā ir pretēja administratīvā akta prioritātes principam. Turklāt prakse piemērot šādus piespiedu ietekmēšanas līdzekļus vienlaicīgi rada jautājumus par lietderību. Ja personai ir piemērots sods, tas neatbrīvo personu no pienākuma izpildes. Ilgstoša pārkāpuma gadījumā, ja persona turpina prettiesisko rīcību, sodu (sankciju) var piemērot arī vēlreiz. Līdz ar to rezultātā var izveidoties administratīvā pasākuma piemērošanai līdzvērtīga situācija. Ja administratīvo pasākumu izpilda piespiedu kārtā (piemēram, uzliek piespiedu naudu), tas kopsakarā ar vienlaicīgi piemēroto sodu rada jautājumus gan par dubultās sodīšanas nepieļaujamības principa ievērošanu, gan arī apšauba administratīvā pasākuma raksturu, proti, tas kopumā var iegūt jau sodam piemītošās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anotācijā norādīts: "Vienlaikus ņemams vērā tas, ka ar administratīvā akta izdošanu var panākt pārkāpuma izbeigšanu, bet nevar novērst pieļautā pārkāpuma sekas, kuras šajā Likumprojektā paredzēto prasību kontekstā gandrīz vienmēr būs principiāli nenovēršamas. Ja Nozīmīgā kredītiestāde nav nodrošinājusi bankomātu pieejamību noteiktā attālumā, skaitā vai darba laikā vai nav klientiem – fiziskām personām – bez maksas nodrošinājusi skaidrās naudas izmaksas pakalpojumu normatīvajos aktos noteiktajā mēneša apmērā, tad šādu neatbilstību vēlāka novēršana (pēc kredītiestādes pašas lēmuma vai Latvijas Bankas administratīvā akta izdošanas) nekādi nevar novērst to, ka līdz pārkāpuma novēršanai kredītiestādes klientiem attiecīgajā apdzīvotā vietā vai teritorijā skaidrās naudas izmaksas pakalpojums nebija pieejams vispār vai bija pieejams tikai ar tādiem nosacījumiem, kas nav atbilstoši normatīvo aktu prasībām (piem., skaidrās naudas izmaksu noteiktajā attālumā varēja saņemt tikai citas kredītiestādes bankomātā un par 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(šaurā izpratnē) un arī administratīvajai atbildībai līdzīgu piespiedu ietekmēšanas līdzekļu piemērošanas mērķis ir nodrošināt tiesību sistēmas efektīvu darbību attiecīgajā jomā. Tā nav vērsta uz atsevišķu cietušo tiesību aizsardzību. Administratīvā soda (sankcijas) piemērošana tiešā veidā faktiski cietušajai personai arī nepalīdz. Līdz ar to pārkāpuma novēršamība skatāma visas tiesiskās iekārtas kontekstā. Tas, ka nevar novērst konkrētas sekas attiecībā uz atsevišķiem indivīdiem, nav izšķirošais. Administratīvā akta prioritātes principa aspektā svarīgi ir tas, vai šāds pārkāpums principā (pārkāpums kā tāds) ir novēršams (vai attiecīgo pienākumu joprojām var izpildīt). Bankomātu nepieejamība ir novēršams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anotācijā norādīts: "Soda naudai paredzēts minimālais apmērs (1 400 </w:t>
            </w:r>
            <w:r w:rsidR="00000000" w:rsidRPr="00000000" w:rsidDel="00000000">
              <w:rPr>
                <w:i w:val="1"/>
                <w:rtl w:val="0"/>
              </w:rPr>
              <w:t xml:space="preserve">euro</w:t>
            </w:r>
            <w:r w:rsidR="00000000" w:rsidRPr="00000000" w:rsidDel="00000000">
              <w:rPr>
                <w:rtl w:val="0"/>
              </w:rPr>
              <w:t xml:space="preserve">), jo, ņemot vērā Nozīmīgo kredītiestāžu darbības jomu un finansiālos apmērus, par 1 400 </w:t>
            </w:r>
            <w:r w:rsidR="00000000" w:rsidRPr="00000000" w:rsidDel="00000000">
              <w:rPr>
                <w:i w:val="1"/>
                <w:rtl w:val="0"/>
              </w:rPr>
              <w:t xml:space="preserve">euro</w:t>
            </w:r>
            <w:r w:rsidR="00000000" w:rsidRPr="00000000" w:rsidDel="00000000">
              <w:rPr>
                <w:rtl w:val="0"/>
              </w:rPr>
              <w:t xml:space="preserve"> mazākas soda naudas paredzēšana nebūtu lietderīga un tikpat iedarbīga un atturoša sankcija attiecīgajos gadījumos būtu brīdinājuma izteikšana. Šāds pats soda naudas minimālais apmērs jau šobrīd paredzēts Kredītiestāžu likuma 198. panta pirmajā un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regulēšanas jomā pieļaujamais soda naudas minimālais apmērs vispārīgi nav noteikts, tad nevar secināt, kāda apmēra soda naudu likumdevējs būtu uzskatījis par nākamo bargāko sodu uzreiz pēc brīdinājuma. Projekta anotācijā norādītajā Kredītiestāžu likuma 198. panta pirmajā un otrajā daļā brīdinājums kā soda veids vispār nav paredzēts. Savukārt, piemēram, Kredītiestāžu likuma 199. pantā soda naudas minimālais apmērs vispār nav noteikt.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vai tiešām praksē nekad nevarētu rasties tādas situācijas, ka pārkāpuma smagumam atbilstošais sods būtu starp brīdinājumu un 1400 </w:t>
            </w:r>
            <w:r w:rsidR="00000000" w:rsidRPr="00000000" w:rsidDel="00000000">
              <w:rPr>
                <w:i w:val="1"/>
                <w:rtl w:val="0"/>
              </w:rPr>
              <w:t xml:space="preserve">euro</w:t>
            </w:r>
            <w:r w:rsidR="00000000" w:rsidRPr="00000000" w:rsidDel="00000000">
              <w:rPr>
                <w:rtl w:val="0"/>
              </w:rPr>
              <w:t xml:space="preserve">. Tipiskā gadījumā soda naudas (jeb naudas soda) minimālais apmērs nebūtu normatīvi nosakāms, atstājot to piemērošanas ziņā vai ierobežojot ar likumdevēja vispārīgi noteikto soda minimālo apmēru, ja tāds pastāv.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atzinumā minētos priekšlikumus, precizēta Likumprojekta 3. panta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izslēdzot vārdus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atsakoties no soda naudas minimālā apmēra noteikšanas (izslēgti vārdi un skaitlis "no 1 400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precizējumi veikti arī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likumprojektā paredzēto administratīvo sankciju piemērošana pēc vai vienlaikus ar administratīvā pasākuma (pieprasīt, lai kredītiestāde vai par pārkāpumu atbildīgā persona nekavējoties izbeidz attiecīgo rīcību) piemērošanu atbilst finanšu tirgus dalībnieku uzraudzības praksē īstenotajai pieejai un nerada dubultās sodīšanas nepieļaujamības principa pārkāpumu (prasība izbeigt pārkāpumu nav sods). Ja par Likumprojektā paredzēto  skaidrās naudas izmaksas pakalpojumu prasību pārkāpumu netiks paredzētas administratīvās sankcijas un pastāvēs tikai iespēja piemērot Kredītiestāžu likuma 196. panta 1.</w:t>
            </w:r>
            <w:r w:rsidR="00000000" w:rsidRPr="00000000" w:rsidDel="00000000">
              <w:rPr>
                <w:vertAlign w:val="superscript"/>
                <w:rtl w:val="0"/>
              </w:rPr>
              <w:t xml:space="preserve">1</w:t>
            </w:r>
            <w:r w:rsidR="00000000" w:rsidRPr="00000000" w:rsidDel="00000000">
              <w:rPr>
                <w:rtl w:val="0"/>
              </w:rPr>
              <w:t xml:space="preserve"> daļā minēto administratīvo pasākumu, tad pastāv risks, ka netiks nodrošināta pietiekama tiesiskā regulējuma efektivitāte. Mērķis ir nodrošināt skaidrās naudas izmaksas pakalpojuma prasību pastāvīgu ievērošanu, nevis to ievērošanu tikai pēc administratīvā pasākuma piemērošanas (administratīvā akta izdošanas). Ja Latvijas Bankas kā uzrauga rīcībā būs tikai administratīvā pasākuma piemērošanas iespēja, tad pēc būtības nepastāvēs iespēja kredītiestādei piemērot jebkādu sankciju (sodu) par pārkāpumiem, kuri pieļauti pirms administratīvā akta izdošanas un kuru sekas (jau nodarītais sabiedrisko interešu aizskārums) vairs nav novēršamas.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ir izvērtējusi Grozījumus Kredītiestāžu likumā (23-TA-3006, turpmāk – Likumprojekts) un pret izvēlēto risinājumu skaidrās naudas pieejamības nodrošināšanai konceptuāli neiebilst. Vienlaikus KP norāda, ka bankomātu pieejamības nosacījumu noteikšana normatīvi, kas ir plānots kā ilgtermiņa risinājums pretstatā iepriekš noslēgtajam kredītiestāžu sadarbības memorandam, nozīmīgajām kredītiestādēm var radīt stimulu sadarboties ekonomiski racionāla un arī Likumprojekta prasības izpildoša bankomātu tīkla izveidē. Līdz ar to šāda veida koordinācija kredītiestāžu starpā var skart arī konkurences tiesību darbības jomu un paredzēt KP iesaisti. Tomēr, ņemot vērā arī to, ka kredītiestādes var izvēlēties Likumprojektā noteiktos kritērijus izpildīt individuāli, kas nozīmē, ka Likumprojekta prasību izpilde nav obligāti atkarīga no KP iesaistes un lēmumiem, KP atbalsta Likumprojekta turpmāku virzību. KP pauž gatavību nepieciešamības gadījumā piedalīties savstarpējās konsultācijās starp Latvijas Finanšu nozares asociāciju, Latvijas Banku un Finanšu ministriju par konkurences tiesībām atbilstošākā kredītiestāžu sadarbības mehānisma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tiks veiktas savstarpējās konsultācijās starp Latvijas Finanšu nozares asociāciju, Latvijas Banku, Finanšu ministriju un Konkurences padomi par konkurences tiesībām atbilstošāka kredītiestāžu sadarbības mehānisma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23-TA-3006</w:t>
    </w:r>
    <w:r>
      <w:br/>
    </w:r>
    <w:r w:rsidR="00000000" w:rsidRPr="00000000" w:rsidDel="00000000">
      <w:rPr>
        <w:rtl w:val="0"/>
      </w:rPr>
      <w:t xml:space="preserve">12.04.2024. 16.42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23-TA-3006</w:t>
    </w:r>
    <w:r>
      <w:br/>
    </w:r>
    <w:r w:rsidR="00000000" w:rsidRPr="00000000" w:rsidDel="00000000">
      <w:rPr>
        <w:rtl w:val="0"/>
      </w:rPr>
      <w:t xml:space="preserve">12.04.2024. 16.42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Izziņa_23-TA-3006.docx</dc:title>
</cp:coreProperties>
</file>

<file path=docProps/custom.xml><?xml version="1.0" encoding="utf-8"?>
<Properties xmlns="http://schemas.openxmlformats.org/officeDocument/2006/custom-properties" xmlns:vt="http://schemas.openxmlformats.org/officeDocument/2006/docPropsVTypes"/>
</file>