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BA34" w14:textId="77777777" w:rsidR="00505E0A" w:rsidRDefault="00505E0A" w:rsidP="00D17C4E">
      <w:pPr>
        <w:spacing w:after="120"/>
        <w:jc w:val="both"/>
        <w:textAlignment w:val="baseline"/>
        <w:rPr>
          <w:rFonts w:ascii="Arial" w:eastAsia="Times New Roman" w:hAnsi="Arial" w:cs="Arial"/>
          <w:iCs/>
          <w:sz w:val="22"/>
          <w:szCs w:val="22"/>
          <w:lang w:eastAsia="lv-LV"/>
        </w:rPr>
      </w:pPr>
    </w:p>
    <w:p w14:paraId="7BA7A8A7" w14:textId="58FD2559" w:rsidR="00D17C4E" w:rsidRPr="00A7716D" w:rsidRDefault="00D17C4E" w:rsidP="00D17C4E">
      <w:pPr>
        <w:spacing w:after="120"/>
        <w:jc w:val="both"/>
        <w:textAlignment w:val="baseline"/>
        <w:rPr>
          <w:rFonts w:ascii="Arial" w:eastAsia="Times New Roman" w:hAnsi="Arial" w:cs="Arial"/>
          <w:iCs/>
          <w:sz w:val="22"/>
          <w:szCs w:val="22"/>
          <w:lang w:eastAsia="lv-LV"/>
        </w:rPr>
      </w:pPr>
      <w:r w:rsidRPr="00A7716D">
        <w:rPr>
          <w:rFonts w:ascii="Arial" w:eastAsia="Times New Roman" w:hAnsi="Arial" w:cs="Arial"/>
          <w:iCs/>
          <w:sz w:val="22"/>
          <w:szCs w:val="22"/>
          <w:lang w:eastAsia="lv-LV"/>
        </w:rPr>
        <w:t>Rīgā, 0</w:t>
      </w:r>
      <w:r w:rsidR="00505E0A">
        <w:rPr>
          <w:rFonts w:ascii="Arial" w:eastAsia="Times New Roman" w:hAnsi="Arial" w:cs="Arial"/>
          <w:iCs/>
          <w:sz w:val="22"/>
          <w:szCs w:val="22"/>
          <w:lang w:eastAsia="lv-LV"/>
        </w:rPr>
        <w:t>9</w:t>
      </w:r>
      <w:r w:rsidRPr="00A7716D">
        <w:rPr>
          <w:rFonts w:ascii="Arial" w:eastAsia="Times New Roman" w:hAnsi="Arial" w:cs="Arial"/>
          <w:iCs/>
          <w:sz w:val="22"/>
          <w:szCs w:val="22"/>
          <w:lang w:eastAsia="lv-LV"/>
        </w:rPr>
        <w:t>.06.2021., Nr. 2-10/</w:t>
      </w:r>
      <w:r w:rsidR="00505E0A">
        <w:rPr>
          <w:rFonts w:ascii="Arial" w:eastAsia="Times New Roman" w:hAnsi="Arial" w:cs="Arial"/>
          <w:iCs/>
          <w:sz w:val="22"/>
          <w:szCs w:val="22"/>
          <w:lang w:eastAsia="lv-LV"/>
        </w:rPr>
        <w:t>44</w:t>
      </w:r>
    </w:p>
    <w:p w14:paraId="00F8116C" w14:textId="77777777" w:rsidR="00505E0A" w:rsidRDefault="00505E0A" w:rsidP="00D17C4E">
      <w:pPr>
        <w:spacing w:after="120"/>
        <w:jc w:val="right"/>
        <w:textAlignment w:val="baseline"/>
        <w:rPr>
          <w:rFonts w:ascii="Arial" w:eastAsia="Times New Roman" w:hAnsi="Arial" w:cs="Arial"/>
          <w:b/>
          <w:bCs/>
          <w:iCs/>
          <w:sz w:val="22"/>
          <w:szCs w:val="22"/>
          <w:lang w:eastAsia="lv-LV"/>
        </w:rPr>
      </w:pPr>
    </w:p>
    <w:p w14:paraId="69FDF9BD" w14:textId="6CCFF507" w:rsidR="00D17C4E" w:rsidRPr="00505E0A" w:rsidRDefault="00D17C4E" w:rsidP="00D17C4E">
      <w:pPr>
        <w:spacing w:after="120"/>
        <w:jc w:val="right"/>
        <w:textAlignment w:val="baseline"/>
        <w:rPr>
          <w:rFonts w:ascii="Arial" w:eastAsia="Times New Roman" w:hAnsi="Arial" w:cs="Arial"/>
          <w:b/>
          <w:bCs/>
          <w:iCs/>
          <w:sz w:val="22"/>
          <w:szCs w:val="22"/>
          <w:lang w:eastAsia="lv-LV"/>
        </w:rPr>
      </w:pPr>
      <w:r w:rsidRPr="00505E0A">
        <w:rPr>
          <w:rFonts w:ascii="Arial" w:eastAsia="Times New Roman" w:hAnsi="Arial" w:cs="Arial"/>
          <w:b/>
          <w:bCs/>
          <w:iCs/>
          <w:sz w:val="22"/>
          <w:szCs w:val="22"/>
          <w:lang w:eastAsia="lv-LV"/>
        </w:rPr>
        <w:t>Satiksmes ministrijai</w:t>
      </w:r>
    </w:p>
    <w:p w14:paraId="4F62B73A" w14:textId="77777777" w:rsidR="00D17C4E" w:rsidRPr="00A7716D" w:rsidRDefault="00D17C4E" w:rsidP="00D17C4E">
      <w:pPr>
        <w:spacing w:after="120"/>
        <w:jc w:val="both"/>
        <w:textAlignment w:val="baseline"/>
        <w:rPr>
          <w:rFonts w:ascii="Arial" w:eastAsia="Times New Roman" w:hAnsi="Arial" w:cs="Arial"/>
          <w:i/>
          <w:iCs/>
          <w:sz w:val="22"/>
          <w:szCs w:val="22"/>
          <w:lang w:eastAsia="lv-LV"/>
        </w:rPr>
      </w:pPr>
    </w:p>
    <w:p w14:paraId="2B260664" w14:textId="77777777" w:rsidR="00505E0A" w:rsidRDefault="00505E0A" w:rsidP="00D17C4E">
      <w:pPr>
        <w:spacing w:after="120"/>
        <w:jc w:val="both"/>
        <w:textAlignment w:val="baseline"/>
        <w:rPr>
          <w:rFonts w:ascii="Arial" w:eastAsia="Times New Roman" w:hAnsi="Arial" w:cs="Arial"/>
          <w:bCs/>
          <w:i/>
          <w:iCs/>
          <w:sz w:val="22"/>
          <w:szCs w:val="22"/>
          <w:lang w:eastAsia="lv-LV"/>
        </w:rPr>
      </w:pPr>
    </w:p>
    <w:p w14:paraId="191C17AC" w14:textId="3C3DD520" w:rsidR="00D17C4E" w:rsidRDefault="00D17C4E" w:rsidP="00D17C4E">
      <w:pPr>
        <w:spacing w:after="120"/>
        <w:jc w:val="both"/>
        <w:textAlignment w:val="baseline"/>
        <w:rPr>
          <w:rFonts w:ascii="Arial" w:eastAsia="Times New Roman" w:hAnsi="Arial" w:cs="Arial"/>
          <w:bCs/>
          <w:i/>
          <w:iCs/>
          <w:sz w:val="22"/>
          <w:szCs w:val="22"/>
          <w:lang w:eastAsia="lv-LV"/>
        </w:rPr>
      </w:pPr>
      <w:r w:rsidRPr="00505E0A">
        <w:rPr>
          <w:rFonts w:ascii="Arial" w:eastAsia="Times New Roman" w:hAnsi="Arial" w:cs="Arial"/>
          <w:bCs/>
          <w:i/>
          <w:iCs/>
          <w:sz w:val="22"/>
          <w:szCs w:val="22"/>
          <w:lang w:eastAsia="lv-LV"/>
        </w:rPr>
        <w:t xml:space="preserve">Par Elektronisko sakaru nozares attīstības plānu 2021. - 2027.gadam </w:t>
      </w:r>
      <w:r w:rsidR="003E5E87" w:rsidRPr="00505E0A">
        <w:rPr>
          <w:rFonts w:ascii="Arial" w:eastAsia="Times New Roman" w:hAnsi="Arial" w:cs="Arial"/>
          <w:bCs/>
          <w:i/>
          <w:iCs/>
          <w:sz w:val="22"/>
          <w:szCs w:val="22"/>
          <w:lang w:eastAsia="lv-LV"/>
        </w:rPr>
        <w:t>(VSS-481)</w:t>
      </w:r>
    </w:p>
    <w:p w14:paraId="68A926AE" w14:textId="77777777" w:rsidR="00505E0A" w:rsidRPr="00505E0A" w:rsidRDefault="00505E0A" w:rsidP="00D17C4E">
      <w:pPr>
        <w:spacing w:after="120"/>
        <w:jc w:val="both"/>
        <w:textAlignment w:val="baseline"/>
        <w:rPr>
          <w:rFonts w:ascii="Arial" w:eastAsia="Times New Roman" w:hAnsi="Arial" w:cs="Arial"/>
          <w:bCs/>
          <w:i/>
          <w:iCs/>
          <w:sz w:val="22"/>
          <w:szCs w:val="22"/>
          <w:lang w:eastAsia="lv-LV"/>
        </w:rPr>
      </w:pPr>
    </w:p>
    <w:p w14:paraId="65C4CEAA" w14:textId="77777777" w:rsidR="00D17C4E" w:rsidRPr="00A7716D" w:rsidRDefault="00D17C4E" w:rsidP="00D17C4E">
      <w:pPr>
        <w:spacing w:after="120"/>
        <w:jc w:val="both"/>
        <w:textAlignment w:val="baseline"/>
        <w:rPr>
          <w:rFonts w:ascii="Arial" w:hAnsi="Arial" w:cs="Arial"/>
          <w:sz w:val="22"/>
          <w:szCs w:val="22"/>
          <w:shd w:val="clear" w:color="auto" w:fill="FFFFFF"/>
        </w:rPr>
      </w:pPr>
      <w:r w:rsidRPr="00A7716D">
        <w:rPr>
          <w:rFonts w:ascii="Arial" w:eastAsia="Times New Roman" w:hAnsi="Arial" w:cs="Arial"/>
          <w:sz w:val="22"/>
          <w:szCs w:val="22"/>
          <w:lang w:eastAsia="lv-LV"/>
        </w:rPr>
        <w:t xml:space="preserve">Latvijas Darba devēju konfederācija (turpmāk – LDDK) ir iepazinusies ar Satiksmes ministrijas </w:t>
      </w:r>
      <w:r w:rsidR="003E5E87">
        <w:rPr>
          <w:rFonts w:ascii="Arial" w:eastAsia="Times New Roman" w:hAnsi="Arial" w:cs="Arial"/>
          <w:sz w:val="22"/>
          <w:szCs w:val="22"/>
          <w:lang w:eastAsia="lv-LV"/>
        </w:rPr>
        <w:t>sagatavoto</w:t>
      </w:r>
      <w:r w:rsidRPr="00A7716D">
        <w:rPr>
          <w:rFonts w:ascii="Arial" w:eastAsia="Times New Roman" w:hAnsi="Arial" w:cs="Arial"/>
          <w:sz w:val="22"/>
          <w:szCs w:val="22"/>
          <w:lang w:eastAsia="lv-LV"/>
        </w:rPr>
        <w:t xml:space="preserve"> </w:t>
      </w:r>
      <w:r w:rsidR="00A7716D">
        <w:rPr>
          <w:rFonts w:ascii="Arial" w:eastAsia="Times New Roman" w:hAnsi="Arial" w:cs="Arial"/>
          <w:sz w:val="22"/>
          <w:szCs w:val="22"/>
          <w:lang w:eastAsia="lv-LV"/>
        </w:rPr>
        <w:t>attīstības</w:t>
      </w:r>
      <w:r w:rsidRPr="00A7716D">
        <w:rPr>
          <w:rFonts w:ascii="Arial" w:eastAsia="Times New Roman" w:hAnsi="Arial" w:cs="Arial"/>
          <w:sz w:val="22"/>
          <w:szCs w:val="22"/>
          <w:lang w:eastAsia="lv-LV"/>
        </w:rPr>
        <w:t xml:space="preserve"> plānošanas dokumentu “</w:t>
      </w:r>
      <w:r w:rsidRPr="00A7716D">
        <w:rPr>
          <w:rFonts w:ascii="Arial" w:hAnsi="Arial" w:cs="Arial"/>
          <w:sz w:val="22"/>
          <w:szCs w:val="22"/>
          <w:shd w:val="clear" w:color="auto" w:fill="FFFFFF"/>
        </w:rPr>
        <w:t xml:space="preserve">Elektronisko sakaru nozares attīstības plāns 2021. - 2027.gadam” (turpmāk – Plāns). </w:t>
      </w:r>
    </w:p>
    <w:p w14:paraId="4A393DE7" w14:textId="77777777" w:rsidR="00D17C4E" w:rsidRPr="00A7716D" w:rsidRDefault="00D17C4E" w:rsidP="00D17C4E">
      <w:pPr>
        <w:spacing w:after="120"/>
        <w:jc w:val="both"/>
        <w:textAlignment w:val="baseline"/>
        <w:rPr>
          <w:rFonts w:ascii="Arial" w:hAnsi="Arial" w:cs="Arial"/>
          <w:sz w:val="22"/>
          <w:szCs w:val="22"/>
          <w:shd w:val="clear" w:color="auto" w:fill="FFFFFF"/>
        </w:rPr>
      </w:pPr>
      <w:r w:rsidRPr="00A7716D">
        <w:rPr>
          <w:rFonts w:ascii="Arial" w:hAnsi="Arial" w:cs="Arial"/>
          <w:sz w:val="22"/>
          <w:szCs w:val="22"/>
          <w:shd w:val="clear" w:color="auto" w:fill="FFFFFF"/>
        </w:rPr>
        <w:t xml:space="preserve">Saskaņā ar </w:t>
      </w:r>
      <w:proofErr w:type="spellStart"/>
      <w:r w:rsidRPr="00A7716D">
        <w:rPr>
          <w:rFonts w:ascii="Arial" w:hAnsi="Arial" w:cs="Arial"/>
          <w:sz w:val="22"/>
          <w:szCs w:val="22"/>
          <w:shd w:val="clear" w:color="auto" w:fill="FFFFFF"/>
        </w:rPr>
        <w:t>Pārresoru</w:t>
      </w:r>
      <w:proofErr w:type="spellEnd"/>
      <w:r w:rsidRPr="00A7716D">
        <w:rPr>
          <w:rFonts w:ascii="Arial" w:hAnsi="Arial" w:cs="Arial"/>
          <w:sz w:val="22"/>
          <w:szCs w:val="22"/>
          <w:shd w:val="clear" w:color="auto" w:fill="FFFFFF"/>
        </w:rPr>
        <w:t xml:space="preserve"> koordinācijas centra </w:t>
      </w:r>
      <w:r w:rsidR="007D0785">
        <w:rPr>
          <w:rFonts w:ascii="Arial" w:hAnsi="Arial" w:cs="Arial"/>
          <w:sz w:val="22"/>
          <w:szCs w:val="22"/>
          <w:shd w:val="clear" w:color="auto" w:fill="FFFFFF"/>
        </w:rPr>
        <w:t>tīmekļa vietnē</w:t>
      </w:r>
      <w:r w:rsidRPr="00A7716D">
        <w:rPr>
          <w:rFonts w:ascii="Arial" w:hAnsi="Arial" w:cs="Arial"/>
          <w:sz w:val="22"/>
          <w:szCs w:val="22"/>
          <w:shd w:val="clear" w:color="auto" w:fill="FFFFFF"/>
        </w:rPr>
        <w:t xml:space="preserve"> pieejamo informāciju</w:t>
      </w:r>
      <w:r w:rsidRPr="00A7716D">
        <w:rPr>
          <w:rStyle w:val="FootnoteReference"/>
          <w:rFonts w:ascii="Arial" w:hAnsi="Arial" w:cs="Arial"/>
          <w:sz w:val="22"/>
          <w:szCs w:val="22"/>
          <w:shd w:val="clear" w:color="auto" w:fill="FFFFFF"/>
        </w:rPr>
        <w:footnoteReference w:id="1"/>
      </w:r>
      <w:r w:rsidRPr="00A7716D">
        <w:rPr>
          <w:rFonts w:ascii="Arial" w:hAnsi="Arial" w:cs="Arial"/>
          <w:sz w:val="22"/>
          <w:szCs w:val="22"/>
          <w:shd w:val="clear" w:color="auto" w:fill="FFFFFF"/>
        </w:rPr>
        <w:t>, politikas plānotājs attīstības plānošanas dokumentā izvirza mērķus un sasniedzamos rezultātus attiecīgā politikas jomā vai teritorijā, apraksta noskaidrotās problēmas un paredz to risinājumus, izvērtē šo risinājumu iespējamo ietekmi, kā arī plāno turpmāko rīcību. Attīstības plānošanas mērķis ir sekmēt valsts ilgtspējīgu un stabilu attīstību, kā arī iedzīvotāju dzīves kvalitātes uzlabošanu. Attīstības un politikas plānošanas process notiek pirms tiesiskā regulējuma izstrādes procesa. Izstrādājot tiesību aktu projektus, ņem vērā politikas plānošanas dokumentos ietvertos mērķus un apstiprinātos risinājumus.</w:t>
      </w:r>
    </w:p>
    <w:p w14:paraId="1108A136" w14:textId="77777777" w:rsidR="00D17C4E" w:rsidRPr="00A7716D" w:rsidRDefault="00D17C4E" w:rsidP="00D17C4E">
      <w:pPr>
        <w:spacing w:after="120"/>
        <w:jc w:val="both"/>
        <w:textAlignment w:val="baseline"/>
        <w:rPr>
          <w:rFonts w:ascii="Arial" w:hAnsi="Arial" w:cs="Arial"/>
          <w:sz w:val="22"/>
          <w:szCs w:val="22"/>
          <w:shd w:val="clear" w:color="auto" w:fill="FFFFFF"/>
        </w:rPr>
      </w:pPr>
      <w:r w:rsidRPr="00A7716D">
        <w:rPr>
          <w:rFonts w:ascii="Arial" w:hAnsi="Arial" w:cs="Arial"/>
          <w:sz w:val="22"/>
          <w:szCs w:val="22"/>
          <w:shd w:val="clear" w:color="auto" w:fill="FFFFFF"/>
        </w:rPr>
        <w:t>Latvijas Nacionālā attīstības plā</w:t>
      </w:r>
      <w:r w:rsidR="007D0785">
        <w:rPr>
          <w:rFonts w:ascii="Arial" w:hAnsi="Arial" w:cs="Arial"/>
          <w:sz w:val="22"/>
          <w:szCs w:val="22"/>
          <w:shd w:val="clear" w:color="auto" w:fill="FFFFFF"/>
        </w:rPr>
        <w:t xml:space="preserve">na 2021.-2027.gadam (turpmāk – </w:t>
      </w:r>
      <w:r w:rsidRPr="00A7716D">
        <w:rPr>
          <w:rFonts w:ascii="Arial" w:hAnsi="Arial" w:cs="Arial"/>
          <w:sz w:val="22"/>
          <w:szCs w:val="22"/>
          <w:shd w:val="clear" w:color="auto" w:fill="FFFFFF"/>
        </w:rPr>
        <w:t>NAP</w:t>
      </w:r>
      <w:r w:rsidR="007D0785">
        <w:rPr>
          <w:rFonts w:ascii="Arial" w:hAnsi="Arial" w:cs="Arial"/>
          <w:sz w:val="22"/>
          <w:szCs w:val="22"/>
          <w:shd w:val="clear" w:color="auto" w:fill="FFFFFF"/>
        </w:rPr>
        <w:t>2027</w:t>
      </w:r>
      <w:r w:rsidRPr="00A7716D">
        <w:rPr>
          <w:rFonts w:ascii="Arial" w:hAnsi="Arial" w:cs="Arial"/>
          <w:sz w:val="22"/>
          <w:szCs w:val="22"/>
          <w:shd w:val="clear" w:color="auto" w:fill="FFFFFF"/>
        </w:rPr>
        <w:t xml:space="preserve">) viens no </w:t>
      </w:r>
      <w:proofErr w:type="spellStart"/>
      <w:r w:rsidRPr="00A7716D">
        <w:rPr>
          <w:rFonts w:ascii="Arial" w:hAnsi="Arial" w:cs="Arial"/>
          <w:sz w:val="22"/>
          <w:szCs w:val="22"/>
          <w:shd w:val="clear" w:color="auto" w:fill="FFFFFF"/>
        </w:rPr>
        <w:t>virsmērķiem</w:t>
      </w:r>
      <w:proofErr w:type="spellEnd"/>
      <w:r w:rsidRPr="00A7716D">
        <w:rPr>
          <w:rFonts w:ascii="Arial" w:hAnsi="Arial" w:cs="Arial"/>
          <w:sz w:val="22"/>
          <w:szCs w:val="22"/>
          <w:shd w:val="clear" w:color="auto" w:fill="FFFFFF"/>
        </w:rPr>
        <w:t xml:space="preserve"> ir kļūt par zināšanās un inovācijās balstītu </w:t>
      </w:r>
      <w:proofErr w:type="spellStart"/>
      <w:r w:rsidRPr="00A7716D">
        <w:rPr>
          <w:rFonts w:ascii="Arial" w:hAnsi="Arial" w:cs="Arial"/>
          <w:sz w:val="22"/>
          <w:szCs w:val="22"/>
          <w:shd w:val="clear" w:color="auto" w:fill="FFFFFF"/>
        </w:rPr>
        <w:t>viedvalsti</w:t>
      </w:r>
      <w:proofErr w:type="spellEnd"/>
      <w:r w:rsidRPr="00A7716D">
        <w:rPr>
          <w:rFonts w:ascii="Arial" w:hAnsi="Arial" w:cs="Arial"/>
          <w:sz w:val="22"/>
          <w:szCs w:val="22"/>
          <w:shd w:val="clear" w:color="auto" w:fill="FFFFFF"/>
        </w:rPr>
        <w:t xml:space="preserve">, kurā attīstās informēta, </w:t>
      </w:r>
      <w:proofErr w:type="spellStart"/>
      <w:r w:rsidRPr="00A7716D">
        <w:rPr>
          <w:rFonts w:ascii="Arial" w:hAnsi="Arial" w:cs="Arial"/>
          <w:sz w:val="22"/>
          <w:szCs w:val="22"/>
          <w:shd w:val="clear" w:color="auto" w:fill="FFFFFF"/>
        </w:rPr>
        <w:t>labklājīga</w:t>
      </w:r>
      <w:proofErr w:type="spellEnd"/>
      <w:r w:rsidRPr="00A7716D">
        <w:rPr>
          <w:rFonts w:ascii="Arial" w:hAnsi="Arial" w:cs="Arial"/>
          <w:sz w:val="22"/>
          <w:szCs w:val="22"/>
          <w:shd w:val="clear" w:color="auto" w:fill="FFFFFF"/>
        </w:rPr>
        <w:t xml:space="preserve"> sabiedrība. Viens no priekšnoteikumiem mērķa izpildei ir attīstītas un tālredzīgas elektronisko sakaru nozares politikas un tiesiskā regulējuma veidošana. Elektronisko sakaru nozare ir dinamiska un tehnoloģiski prasīga nozare, kurā tiesiskajam regulējumam jāspēj ne tikai risināt nozares </w:t>
      </w:r>
      <w:proofErr w:type="spellStart"/>
      <w:r w:rsidRPr="00A7716D">
        <w:rPr>
          <w:rFonts w:ascii="Arial" w:hAnsi="Arial" w:cs="Arial"/>
          <w:sz w:val="22"/>
          <w:szCs w:val="22"/>
          <w:shd w:val="clear" w:color="auto" w:fill="FFFFFF"/>
        </w:rPr>
        <w:t>problēmjautājumus</w:t>
      </w:r>
      <w:proofErr w:type="spellEnd"/>
      <w:r w:rsidRPr="00A7716D">
        <w:rPr>
          <w:rFonts w:ascii="Arial" w:hAnsi="Arial" w:cs="Arial"/>
          <w:sz w:val="22"/>
          <w:szCs w:val="22"/>
          <w:shd w:val="clear" w:color="auto" w:fill="FFFFFF"/>
        </w:rPr>
        <w:t xml:space="preserve"> un izaicinājumus, nodrošināt atbilstību Eiropas Savienības aktiem, bet arī noteikt skaidru, saprotamu ietvaru Latvijas valsts attīstības ilgtermiņu mērķu sasniegšanai. Tāpēc, plānojot elektronisko sakaru nozares politiku, neatrauti veicama Latvijas nacionālo interešu un situā</w:t>
      </w:r>
      <w:r w:rsidR="007D0785">
        <w:rPr>
          <w:rFonts w:ascii="Arial" w:hAnsi="Arial" w:cs="Arial"/>
          <w:sz w:val="22"/>
          <w:szCs w:val="22"/>
          <w:shd w:val="clear" w:color="auto" w:fill="FFFFFF"/>
        </w:rPr>
        <w:t xml:space="preserve">cijas novērtējums. Mērķējot uz </w:t>
      </w:r>
      <w:r w:rsidRPr="00A7716D">
        <w:rPr>
          <w:rFonts w:ascii="Arial" w:hAnsi="Arial" w:cs="Arial"/>
          <w:sz w:val="22"/>
          <w:szCs w:val="22"/>
          <w:shd w:val="clear" w:color="auto" w:fill="FFFFFF"/>
        </w:rPr>
        <w:t>NAP</w:t>
      </w:r>
      <w:r w:rsidR="007D0785">
        <w:rPr>
          <w:rFonts w:ascii="Arial" w:hAnsi="Arial" w:cs="Arial"/>
          <w:sz w:val="22"/>
          <w:szCs w:val="22"/>
          <w:shd w:val="clear" w:color="auto" w:fill="FFFFFF"/>
        </w:rPr>
        <w:t>2027</w:t>
      </w:r>
      <w:r w:rsidRPr="00A7716D">
        <w:rPr>
          <w:rFonts w:ascii="Arial" w:hAnsi="Arial" w:cs="Arial"/>
          <w:sz w:val="22"/>
          <w:szCs w:val="22"/>
          <w:shd w:val="clear" w:color="auto" w:fill="FFFFFF"/>
        </w:rPr>
        <w:t xml:space="preserve"> iezīmēto tautsaimniecības digitālo izrāvienu, ir būtiski mainīt nozari regulējošās materiālās tiesību normas, kā arī konceptuāli pārskatīt elektronisko sakaru nozares politikas uzstādījumus un mērķus.</w:t>
      </w:r>
    </w:p>
    <w:p w14:paraId="131D4360" w14:textId="77777777" w:rsidR="00D17C4E" w:rsidRPr="00A7716D" w:rsidRDefault="00D17C4E" w:rsidP="00D17C4E">
      <w:pPr>
        <w:spacing w:after="120"/>
        <w:jc w:val="both"/>
        <w:textAlignment w:val="baseline"/>
        <w:rPr>
          <w:rFonts w:ascii="Arial" w:hAnsi="Arial" w:cs="Arial"/>
          <w:sz w:val="22"/>
          <w:szCs w:val="22"/>
          <w:shd w:val="clear" w:color="auto" w:fill="FFFFFF"/>
        </w:rPr>
      </w:pPr>
      <w:r w:rsidRPr="00A7716D">
        <w:rPr>
          <w:rFonts w:ascii="Arial" w:hAnsi="Arial" w:cs="Arial"/>
          <w:sz w:val="22"/>
          <w:szCs w:val="22"/>
          <w:shd w:val="clear" w:color="auto" w:fill="FFFFFF"/>
        </w:rPr>
        <w:t>LDDK un elektronisko sak</w:t>
      </w:r>
      <w:r w:rsidR="007D0785">
        <w:rPr>
          <w:rFonts w:ascii="Arial" w:hAnsi="Arial" w:cs="Arial"/>
          <w:sz w:val="22"/>
          <w:szCs w:val="22"/>
          <w:shd w:val="clear" w:color="auto" w:fill="FFFFFF"/>
        </w:rPr>
        <w:t xml:space="preserve">aru nozares uzņēmumu pārstāvji </w:t>
      </w:r>
      <w:r w:rsidRPr="00A7716D">
        <w:rPr>
          <w:rFonts w:ascii="Arial" w:hAnsi="Arial" w:cs="Arial"/>
          <w:sz w:val="22"/>
          <w:szCs w:val="22"/>
          <w:shd w:val="clear" w:color="auto" w:fill="FFFFFF"/>
        </w:rPr>
        <w:t>ir vairākkārt vērsušies gan pie Satiksmes ministrijas, gan pie citām atbildīgajām institūcijām, norādot uz būtiskajiem šķēršļiem elektronisko sakaru infrastruktūras nodrošināšanas j</w:t>
      </w:r>
      <w:r w:rsidR="007D0785">
        <w:rPr>
          <w:rFonts w:ascii="Arial" w:hAnsi="Arial" w:cs="Arial"/>
          <w:sz w:val="22"/>
          <w:szCs w:val="22"/>
          <w:shd w:val="clear" w:color="auto" w:fill="FFFFFF"/>
        </w:rPr>
        <w:t xml:space="preserve">omā. </w:t>
      </w:r>
      <w:r w:rsidRPr="00A7716D">
        <w:rPr>
          <w:rFonts w:ascii="Arial" w:hAnsi="Arial" w:cs="Arial"/>
          <w:sz w:val="22"/>
          <w:szCs w:val="22"/>
          <w:shd w:val="clear" w:color="auto" w:fill="FFFFFF"/>
        </w:rPr>
        <w:t xml:space="preserve">Uzsveram, ka bez būtiskiem uzlabojumiem sakaru infrastruktūras plānošanas, būvniecības, piekļuves jomā, kā arī sakaru tīklu izvēršanas izmaksu samazināšanā, Plānā norādītos mērķus, tajā skaitā, 5G tehnoloģijas pieejamība sabiedrībai, nav iespējams sasniegt. Lai arī, balstoties uz Eiropas Savienības tiesību normām, ir pieņemti vairāki dokumenti – piemēram, Ātrdarbīga elektronisko sakaru tīkla likums, izmaiņas būvnoteikumos, u.c., izmaiņu temps un regulējuma atbilstība ir acīmredzami nepietiekoša, lai sekmīgi sasniegtu </w:t>
      </w:r>
      <w:proofErr w:type="spellStart"/>
      <w:r w:rsidRPr="00A7716D">
        <w:rPr>
          <w:rFonts w:ascii="Arial" w:hAnsi="Arial" w:cs="Arial"/>
          <w:sz w:val="22"/>
          <w:szCs w:val="22"/>
          <w:shd w:val="clear" w:color="auto" w:fill="FFFFFF"/>
        </w:rPr>
        <w:t>digitalizācijas</w:t>
      </w:r>
      <w:proofErr w:type="spellEnd"/>
      <w:r w:rsidRPr="00A7716D">
        <w:rPr>
          <w:rFonts w:ascii="Arial" w:hAnsi="Arial" w:cs="Arial"/>
          <w:sz w:val="22"/>
          <w:szCs w:val="22"/>
          <w:shd w:val="clear" w:color="auto" w:fill="FFFFFF"/>
        </w:rPr>
        <w:t xml:space="preserve"> mērķus. </w:t>
      </w:r>
    </w:p>
    <w:p w14:paraId="64AE7A89" w14:textId="77777777" w:rsidR="00D17C4E" w:rsidRPr="00A7716D" w:rsidRDefault="00D17C4E" w:rsidP="00D17C4E">
      <w:pPr>
        <w:spacing w:after="120"/>
        <w:ind w:firstLine="720"/>
        <w:jc w:val="both"/>
        <w:textAlignment w:val="baseline"/>
        <w:rPr>
          <w:rFonts w:ascii="Arial" w:hAnsi="Arial" w:cs="Arial"/>
          <w:sz w:val="22"/>
          <w:szCs w:val="22"/>
          <w:shd w:val="clear" w:color="auto" w:fill="FFFFFF"/>
        </w:rPr>
      </w:pPr>
      <w:r w:rsidRPr="00A7716D">
        <w:rPr>
          <w:rFonts w:ascii="Arial" w:hAnsi="Arial" w:cs="Arial"/>
          <w:sz w:val="22"/>
          <w:szCs w:val="22"/>
          <w:shd w:val="clear" w:color="auto" w:fill="FFFFFF"/>
        </w:rPr>
        <w:t>1. LDDK iebilst pret Plānu kopumā</w:t>
      </w:r>
      <w:r w:rsidR="003E5E87">
        <w:rPr>
          <w:rFonts w:ascii="Arial" w:hAnsi="Arial" w:cs="Arial"/>
          <w:sz w:val="22"/>
          <w:szCs w:val="22"/>
          <w:shd w:val="clear" w:color="auto" w:fill="FFFFFF"/>
        </w:rPr>
        <w:t xml:space="preserve"> un tajā ietvertajiem rīcības virzieniem</w:t>
      </w:r>
      <w:r w:rsidRPr="00A7716D">
        <w:rPr>
          <w:rFonts w:ascii="Arial" w:hAnsi="Arial" w:cs="Arial"/>
          <w:sz w:val="22"/>
          <w:szCs w:val="22"/>
          <w:shd w:val="clear" w:color="auto" w:fill="FFFFFF"/>
        </w:rPr>
        <w:t>:</w:t>
      </w:r>
    </w:p>
    <w:p w14:paraId="24276762" w14:textId="77777777" w:rsidR="00B51E69" w:rsidRDefault="00B51E69" w:rsidP="00D17C4E">
      <w:pPr>
        <w:spacing w:after="120"/>
        <w:jc w:val="both"/>
        <w:rPr>
          <w:rFonts w:ascii="Arial" w:eastAsia="Times New Roman" w:hAnsi="Arial" w:cs="Arial"/>
          <w:b/>
          <w:sz w:val="22"/>
          <w:szCs w:val="22"/>
          <w:lang w:eastAsia="lv-LV"/>
        </w:rPr>
      </w:pPr>
    </w:p>
    <w:p w14:paraId="149FD09C" w14:textId="6587C1EC" w:rsidR="00D17C4E" w:rsidRPr="00A7716D" w:rsidRDefault="00D17C4E" w:rsidP="00D17C4E">
      <w:pPr>
        <w:spacing w:after="120"/>
        <w:jc w:val="both"/>
        <w:rPr>
          <w:rFonts w:ascii="Arial" w:eastAsia="Times New Roman" w:hAnsi="Arial" w:cs="Arial"/>
          <w:b/>
          <w:sz w:val="22"/>
          <w:szCs w:val="22"/>
          <w:lang w:eastAsia="lv-LV"/>
        </w:rPr>
      </w:pPr>
      <w:r w:rsidRPr="00A7716D">
        <w:rPr>
          <w:rFonts w:ascii="Arial" w:eastAsia="Times New Roman" w:hAnsi="Arial" w:cs="Arial"/>
          <w:b/>
          <w:sz w:val="22"/>
          <w:szCs w:val="22"/>
          <w:lang w:eastAsia="lv-LV"/>
        </w:rPr>
        <w:lastRenderedPageBreak/>
        <w:t>Pamatojums:</w:t>
      </w:r>
    </w:p>
    <w:p w14:paraId="5212A74B" w14:textId="77777777" w:rsidR="00D17C4E" w:rsidRPr="00A7716D" w:rsidRDefault="00D17C4E" w:rsidP="00D17C4E">
      <w:pPr>
        <w:spacing w:after="120"/>
        <w:jc w:val="both"/>
        <w:rPr>
          <w:rFonts w:ascii="Arial" w:hAnsi="Arial" w:cs="Arial"/>
          <w:sz w:val="22"/>
          <w:szCs w:val="22"/>
        </w:rPr>
      </w:pPr>
      <w:r w:rsidRPr="00A7716D">
        <w:rPr>
          <w:rFonts w:ascii="Arial" w:eastAsia="Times New Roman" w:hAnsi="Arial" w:cs="Arial"/>
          <w:sz w:val="22"/>
          <w:szCs w:val="22"/>
          <w:lang w:eastAsia="lv-LV"/>
        </w:rPr>
        <w:t xml:space="preserve">Lai nodrošinātu konkurētspējīgu digitālā vienotā tirgus savienojamību, kas ir būtisks priekšnoteikums pārmaiņām tautsaimniecībā, valsts pārvaldē un sabiedrībā kopumā, nepieciešama pārdomāta fiksētās un mobilās platjoslas elektronisko sakaru infrastruktūras izbūve - nepieciešams nodrošināt atbilstošu mobilo sakaru tīkla infrastruktūru, torņus, mastus, bāzes stacijas un citus fiziskās infrastruktūras objektus, kā arī nodrošināt optiskos </w:t>
      </w:r>
      <w:proofErr w:type="spellStart"/>
      <w:r w:rsidRPr="00A7716D">
        <w:rPr>
          <w:rFonts w:ascii="Arial" w:eastAsia="Times New Roman" w:hAnsi="Arial" w:cs="Arial"/>
          <w:sz w:val="22"/>
          <w:szCs w:val="22"/>
          <w:lang w:eastAsia="lv-LV"/>
        </w:rPr>
        <w:t>pieslēgumus</w:t>
      </w:r>
      <w:proofErr w:type="spellEnd"/>
      <w:r w:rsidRPr="00A7716D">
        <w:rPr>
          <w:rFonts w:ascii="Arial" w:eastAsia="Times New Roman" w:hAnsi="Arial" w:cs="Arial"/>
          <w:sz w:val="22"/>
          <w:szCs w:val="22"/>
          <w:lang w:eastAsia="lv-LV"/>
        </w:rPr>
        <w:t xml:space="preserve"> sakaru tīkla objektiem.  </w:t>
      </w:r>
    </w:p>
    <w:p w14:paraId="30A8D20C" w14:textId="77777777" w:rsidR="00D17C4E" w:rsidRPr="00A7716D" w:rsidRDefault="00D17C4E" w:rsidP="00D17C4E">
      <w:pPr>
        <w:spacing w:after="120"/>
        <w:jc w:val="both"/>
        <w:rPr>
          <w:rFonts w:ascii="Arial" w:hAnsi="Arial" w:cs="Arial"/>
          <w:sz w:val="22"/>
          <w:szCs w:val="22"/>
        </w:rPr>
      </w:pPr>
      <w:r w:rsidRPr="00A7716D">
        <w:rPr>
          <w:rFonts w:ascii="Arial" w:eastAsia="Times New Roman" w:hAnsi="Arial" w:cs="Arial"/>
          <w:sz w:val="22"/>
          <w:szCs w:val="22"/>
          <w:lang w:eastAsia="lv-LV"/>
        </w:rPr>
        <w:t xml:space="preserve">Piekļuve internetam nevar būt vien formāla (piemēram, </w:t>
      </w:r>
      <w:proofErr w:type="spellStart"/>
      <w:r w:rsidRPr="00A7716D">
        <w:rPr>
          <w:rFonts w:ascii="Arial" w:eastAsia="Times New Roman" w:hAnsi="Arial" w:cs="Arial"/>
          <w:sz w:val="22"/>
          <w:szCs w:val="22"/>
          <w:lang w:eastAsia="lv-LV"/>
        </w:rPr>
        <w:t>ārtelpās</w:t>
      </w:r>
      <w:proofErr w:type="spellEnd"/>
      <w:r w:rsidRPr="00A7716D">
        <w:rPr>
          <w:rFonts w:ascii="Arial" w:eastAsia="Times New Roman" w:hAnsi="Arial" w:cs="Arial"/>
          <w:sz w:val="22"/>
          <w:szCs w:val="22"/>
          <w:lang w:eastAsia="lv-LV"/>
        </w:rPr>
        <w:t xml:space="preserve">), jārisina jautājums par platjoslas piekļuves tīklu (optisko līniju un / vai bezvadu piekļuves tīklu) nodrošināšanu dzīvojamo vai sabiedrisko ēku iekštelpās, jo tieši iekštelpās visbiežāk izmanto sakaru pakalpojumus.  </w:t>
      </w:r>
    </w:p>
    <w:p w14:paraId="578EDC1E" w14:textId="77777777" w:rsidR="00D17C4E" w:rsidRPr="00A7716D" w:rsidRDefault="00D17C4E" w:rsidP="00D17C4E">
      <w:pPr>
        <w:autoSpaceDE w:val="0"/>
        <w:autoSpaceDN w:val="0"/>
        <w:adjustRightInd w:val="0"/>
        <w:spacing w:after="120"/>
        <w:jc w:val="both"/>
        <w:rPr>
          <w:rFonts w:ascii="Arial" w:eastAsia="Times New Roman" w:hAnsi="Arial" w:cs="Arial"/>
          <w:sz w:val="22"/>
          <w:szCs w:val="22"/>
          <w:lang w:eastAsia="lv-LV"/>
        </w:rPr>
      </w:pPr>
      <w:r w:rsidRPr="00A7716D">
        <w:rPr>
          <w:rFonts w:ascii="Arial" w:eastAsia="Times New Roman" w:hAnsi="Arial" w:cs="Arial"/>
          <w:sz w:val="22"/>
          <w:szCs w:val="22"/>
          <w:lang w:eastAsia="lv-LV"/>
        </w:rPr>
        <w:t xml:space="preserve">Eiropas Komisija ir atzinusi 5G tīkla tehnoloģiju izbūvi par nākotnes digitālo pakalpojumu svarīgu priekšnosacījumu un par prioritāti digitālā vienotā tirgus stratēģijā. Tāpat NATO stratēģiskā partnerība paredz 5G tīkla drošību, ņemot vērā, ka 5G būs vitāli svarīgs gan nākotnes labklājībai, gan nacionālajai drošībai, kā arī tas nākotnē veicinās pārrobežu pakalpojumus un tirdzniecību. </w:t>
      </w:r>
    </w:p>
    <w:p w14:paraId="1E9F48DC" w14:textId="77777777" w:rsidR="00D17C4E" w:rsidRPr="00A7716D" w:rsidRDefault="00D17C4E" w:rsidP="00D17C4E">
      <w:pPr>
        <w:autoSpaceDE w:val="0"/>
        <w:autoSpaceDN w:val="0"/>
        <w:adjustRightInd w:val="0"/>
        <w:spacing w:after="120"/>
        <w:jc w:val="both"/>
        <w:rPr>
          <w:rFonts w:ascii="Arial" w:hAnsi="Arial" w:cs="Arial"/>
          <w:sz w:val="22"/>
          <w:szCs w:val="22"/>
        </w:rPr>
      </w:pPr>
      <w:r w:rsidRPr="00A7716D">
        <w:rPr>
          <w:rFonts w:ascii="Arial" w:eastAsia="Times New Roman" w:hAnsi="Arial" w:cs="Arial"/>
          <w:sz w:val="22"/>
          <w:szCs w:val="22"/>
          <w:lang w:eastAsia="lv-LV"/>
        </w:rPr>
        <w:t xml:space="preserve">Tehnoloģiskās infrastruktūras un </w:t>
      </w:r>
      <w:proofErr w:type="spellStart"/>
      <w:r w:rsidRPr="00A7716D">
        <w:rPr>
          <w:rFonts w:ascii="Arial" w:eastAsia="Times New Roman" w:hAnsi="Arial" w:cs="Arial"/>
          <w:sz w:val="22"/>
          <w:szCs w:val="22"/>
          <w:lang w:eastAsia="lv-LV"/>
        </w:rPr>
        <w:t>pratības</w:t>
      </w:r>
      <w:proofErr w:type="spellEnd"/>
      <w:r w:rsidRPr="00A7716D">
        <w:rPr>
          <w:rFonts w:ascii="Arial" w:eastAsia="Times New Roman" w:hAnsi="Arial" w:cs="Arial"/>
          <w:sz w:val="22"/>
          <w:szCs w:val="22"/>
          <w:lang w:eastAsia="lv-LV"/>
        </w:rPr>
        <w:t xml:space="preserve"> būtiskums nacionālā lī</w:t>
      </w:r>
      <w:r w:rsidR="003E5E87">
        <w:rPr>
          <w:rFonts w:ascii="Arial" w:eastAsia="Times New Roman" w:hAnsi="Arial" w:cs="Arial"/>
          <w:sz w:val="22"/>
          <w:szCs w:val="22"/>
          <w:lang w:eastAsia="lv-LV"/>
        </w:rPr>
        <w:t xml:space="preserve">menī akcentēts un nostiprināts </w:t>
      </w:r>
      <w:r w:rsidRPr="00A7716D">
        <w:rPr>
          <w:rFonts w:ascii="Arial" w:eastAsia="Times New Roman" w:hAnsi="Arial" w:cs="Arial"/>
          <w:sz w:val="22"/>
          <w:szCs w:val="22"/>
          <w:lang w:eastAsia="lv-LV"/>
        </w:rPr>
        <w:t>NAP</w:t>
      </w:r>
      <w:r w:rsidR="003E5E87">
        <w:rPr>
          <w:rFonts w:ascii="Arial" w:eastAsia="Times New Roman" w:hAnsi="Arial" w:cs="Arial"/>
          <w:sz w:val="22"/>
          <w:szCs w:val="22"/>
          <w:lang w:eastAsia="lv-LV"/>
        </w:rPr>
        <w:t>2027</w:t>
      </w:r>
      <w:r w:rsidRPr="00A7716D">
        <w:rPr>
          <w:rFonts w:ascii="Arial" w:eastAsia="Times New Roman" w:hAnsi="Arial" w:cs="Arial"/>
          <w:sz w:val="22"/>
          <w:szCs w:val="22"/>
          <w:lang w:eastAsia="lv-LV"/>
        </w:rPr>
        <w:t>, kurā kā Uzņēmumu konkurētspējas prioritāte ir izvirzīta inovācijas un digitālā ekonomika.</w:t>
      </w:r>
      <w:r w:rsidRPr="00A7716D">
        <w:rPr>
          <w:rFonts w:ascii="Arial" w:hAnsi="Arial" w:cs="Arial"/>
          <w:sz w:val="22"/>
          <w:szCs w:val="22"/>
        </w:rPr>
        <w:t xml:space="preserve"> Ņemot to vērā, vēlams nekavēties ar ilgstoši nerisināto jautājumu par fiksēto un mobilo elektronisko sakaru tīklu infrastruktūras izbūvi, attīstību un uzturēšanu. Lai veiksmīgi izvērstu platjoslas interneta (tostarp 5G) tīklu un radītu auglīgu vidi investīcijām jaunās tehnoloģijās, ir nepieciešams veikt šādus darbus nozares politikas īstenošanas ietvaros: </w:t>
      </w:r>
    </w:p>
    <w:p w14:paraId="5FBAF138" w14:textId="77777777" w:rsidR="00D17C4E" w:rsidRPr="00A7716D" w:rsidRDefault="00D17C4E" w:rsidP="00D17C4E">
      <w:pPr>
        <w:pStyle w:val="ListParagraph"/>
        <w:numPr>
          <w:ilvl w:val="0"/>
          <w:numId w:val="1"/>
        </w:numPr>
        <w:autoSpaceDE w:val="0"/>
        <w:autoSpaceDN w:val="0"/>
        <w:adjustRightInd w:val="0"/>
        <w:spacing w:after="120"/>
        <w:ind w:left="0" w:firstLine="0"/>
        <w:jc w:val="both"/>
        <w:rPr>
          <w:rFonts w:ascii="Arial" w:hAnsi="Arial" w:cs="Arial"/>
          <w:bCs/>
          <w:sz w:val="22"/>
          <w:szCs w:val="22"/>
        </w:rPr>
      </w:pPr>
      <w:r w:rsidRPr="00A7716D">
        <w:rPr>
          <w:rFonts w:ascii="Arial" w:hAnsi="Arial" w:cs="Arial"/>
          <w:bCs/>
          <w:sz w:val="22"/>
          <w:szCs w:val="22"/>
        </w:rPr>
        <w:t xml:space="preserve">Vietu nodrošināšana platjoslas infrastruktūrai, jo īpaši bāzes stacijām - </w:t>
      </w:r>
      <w:r w:rsidR="00C24B82">
        <w:rPr>
          <w:rFonts w:ascii="Arial" w:hAnsi="Arial" w:cs="Arial"/>
          <w:bCs/>
          <w:sz w:val="22"/>
          <w:szCs w:val="22"/>
        </w:rPr>
        <w:t>n</w:t>
      </w:r>
      <w:r w:rsidRPr="00A7716D">
        <w:rPr>
          <w:rFonts w:ascii="Arial" w:hAnsi="Arial" w:cs="Arial"/>
          <w:bCs/>
          <w:sz w:val="22"/>
          <w:szCs w:val="22"/>
        </w:rPr>
        <w:t>ormatīvi nepieciešams gan nostiprināt elektronisko sakaru komersanta piekļuves tiesības fiziskai infrastruktūrai nolūkā izvietot platjoslas infrastruktūru, gan nodrošināt piekļuves mehānisma ieviešanu, kas šobrīd normatīvajos aktos praktiski nav risināts. Šāda pieeja nebūtu jaunums tiesiskajā telpā - līdzīgi šādas tiesības nodrošinātas komersantiem, kas darbojas enerģētikā un citās sabiedrisko pakalpojumu nozarēs, kas ir vērstas uz sabiedrības interešu nodrošināšanu;</w:t>
      </w:r>
    </w:p>
    <w:p w14:paraId="21C4CE42" w14:textId="77777777" w:rsidR="00D17C4E" w:rsidRPr="00A7716D" w:rsidRDefault="00D17C4E" w:rsidP="00D17C4E">
      <w:pPr>
        <w:pStyle w:val="ListParagraph"/>
        <w:numPr>
          <w:ilvl w:val="0"/>
          <w:numId w:val="1"/>
        </w:numPr>
        <w:autoSpaceDE w:val="0"/>
        <w:autoSpaceDN w:val="0"/>
        <w:adjustRightInd w:val="0"/>
        <w:spacing w:after="120"/>
        <w:ind w:left="0" w:firstLine="0"/>
        <w:jc w:val="both"/>
        <w:rPr>
          <w:rFonts w:ascii="Arial" w:hAnsi="Arial" w:cs="Arial"/>
          <w:bCs/>
          <w:sz w:val="22"/>
          <w:szCs w:val="22"/>
        </w:rPr>
      </w:pPr>
      <w:r w:rsidRPr="00A7716D">
        <w:rPr>
          <w:rFonts w:ascii="Arial" w:hAnsi="Arial" w:cs="Arial"/>
          <w:bCs/>
          <w:sz w:val="22"/>
          <w:szCs w:val="22"/>
        </w:rPr>
        <w:t xml:space="preserve"> Elektronisko sakaru infrastruktūras radīto apgrūtinājumu infrastruktūras īpašniekiem atlīdzinājuma noteikšana - vietas īpašniekam ir tiesības saņemt taisnīgu atlīdzinājumu par bāzes stacijas vai citas elektronisko sakaru infrastruktūras radīto apgrūtinājumu, kas nepārsniedz tam radušos izdevumus. Atlīdzības noteikšanas un saņemšanas mehānisms nosakāms Elektronisko sakaru likumā, savukārt atlīdzības noteikšanas un saņemšanas mehānisma kārtību var deleģēt izstrādāt Ministru kabinetam. Platjoslas infrastruktūras izbūves izmaksas ir nacionālās attīstības ilgtermiņa jautājums, nevis konkrēto īpašnieku vai pārvaldnieku peļņas avots.</w:t>
      </w:r>
    </w:p>
    <w:p w14:paraId="16297672" w14:textId="77777777" w:rsidR="00D17C4E" w:rsidRPr="00A7716D" w:rsidRDefault="00D17C4E" w:rsidP="00D17C4E">
      <w:pPr>
        <w:pStyle w:val="ListParagraph"/>
        <w:numPr>
          <w:ilvl w:val="0"/>
          <w:numId w:val="1"/>
        </w:numPr>
        <w:autoSpaceDE w:val="0"/>
        <w:autoSpaceDN w:val="0"/>
        <w:adjustRightInd w:val="0"/>
        <w:spacing w:after="120"/>
        <w:ind w:left="0" w:firstLine="0"/>
        <w:jc w:val="both"/>
        <w:rPr>
          <w:rFonts w:ascii="Arial" w:hAnsi="Arial" w:cs="Arial"/>
          <w:sz w:val="22"/>
          <w:szCs w:val="22"/>
        </w:rPr>
      </w:pPr>
      <w:r w:rsidRPr="00A7716D">
        <w:rPr>
          <w:rFonts w:ascii="Arial" w:hAnsi="Arial" w:cs="Arial"/>
          <w:sz w:val="22"/>
          <w:szCs w:val="22"/>
        </w:rPr>
        <w:t>Platjoslas tīkla nodrošinājuma, tajā skaitā 5G pārklājuma, nodrošināšana iekštelpās - jau būvniecības ierosināšanas stadijā ir jāplāno gan fiksētās, gan mobilās tehnoloģijas platjoslas elektronisko sakaru infrastruktūra sabiedrisku ēku iekštelpās. Ietaupījums, ko ēku attīstītāji iegūst norobežojoties no mobilo sakaru iekšējo tīklu izbūves plānošanas, būtiski sadārdzina mobilo sakaru tīklu izbūvi iekštelpās tālākās būvniecības stadijās. Mobilo sakaru pārklājums sabiedrisko ēku iekštelpās nav attīstītāja izvēle, tā ir sabiedrības nepieciešamība digitālajā laikmetā, kas jāatzīst normatīvajos aktos.</w:t>
      </w:r>
    </w:p>
    <w:p w14:paraId="4FB1BD4B" w14:textId="77777777" w:rsidR="00D17C4E" w:rsidRPr="00A7716D" w:rsidRDefault="00D17C4E" w:rsidP="00D17C4E">
      <w:pPr>
        <w:autoSpaceDE w:val="0"/>
        <w:autoSpaceDN w:val="0"/>
        <w:adjustRightInd w:val="0"/>
        <w:spacing w:after="120"/>
        <w:jc w:val="both"/>
        <w:rPr>
          <w:rFonts w:ascii="Arial" w:hAnsi="Arial" w:cs="Arial"/>
          <w:sz w:val="22"/>
          <w:szCs w:val="22"/>
        </w:rPr>
      </w:pPr>
      <w:r w:rsidRPr="00A7716D">
        <w:rPr>
          <w:rFonts w:ascii="Arial" w:hAnsi="Arial" w:cs="Arial"/>
          <w:sz w:val="22"/>
          <w:szCs w:val="22"/>
        </w:rPr>
        <w:t xml:space="preserve">Tādēļ Satiksmes ministrijai kopā ar Ekonomikas ministriju jāizstrādā atbilstoši grozījumi būvniecības normatīvos, nosakot skaidras, nepārprotamas tehniskās prasības attiecībā uz elektronisko sakaru iekšējo inženiertīklu izbūvi būvēm un nodrošina nepieciešamo sasaisti ar </w:t>
      </w:r>
      <w:r w:rsidRPr="00A7716D">
        <w:rPr>
          <w:rFonts w:ascii="Arial" w:hAnsi="Arial" w:cs="Arial"/>
          <w:sz w:val="22"/>
          <w:szCs w:val="22"/>
        </w:rPr>
        <w:lastRenderedPageBreak/>
        <w:t>elektronisko sakaru nozari regulējošajiem normatīvajiem aktiem. Procesā vēlams iesaistīt Būvniecības kontroles uzraudzības biroju.</w:t>
      </w:r>
    </w:p>
    <w:p w14:paraId="70B7C3D4" w14:textId="77777777" w:rsidR="00D17C4E" w:rsidRPr="00A7716D" w:rsidRDefault="00D17C4E" w:rsidP="00D17C4E">
      <w:pPr>
        <w:pStyle w:val="ListParagraph"/>
        <w:numPr>
          <w:ilvl w:val="0"/>
          <w:numId w:val="1"/>
        </w:numPr>
        <w:autoSpaceDE w:val="0"/>
        <w:autoSpaceDN w:val="0"/>
        <w:adjustRightInd w:val="0"/>
        <w:spacing w:after="120"/>
        <w:ind w:left="0" w:firstLine="0"/>
        <w:jc w:val="both"/>
        <w:rPr>
          <w:rFonts w:ascii="Arial" w:hAnsi="Arial" w:cs="Arial"/>
          <w:sz w:val="22"/>
          <w:szCs w:val="22"/>
        </w:rPr>
      </w:pPr>
      <w:r w:rsidRPr="00A7716D">
        <w:rPr>
          <w:rFonts w:ascii="Arial" w:hAnsi="Arial" w:cs="Arial"/>
          <w:bCs/>
          <w:sz w:val="22"/>
          <w:szCs w:val="22"/>
        </w:rPr>
        <w:t>Platjoslas (t.sk.5G) pieejamības plānošana un nodrošināšana, veicot publiskās infrastruktūras un pašvaldību teritoriālo plānošanu –</w:t>
      </w:r>
      <w:r w:rsidRPr="00A7716D">
        <w:rPr>
          <w:rFonts w:ascii="Arial" w:hAnsi="Arial" w:cs="Arial"/>
          <w:sz w:val="22"/>
          <w:szCs w:val="22"/>
        </w:rPr>
        <w:t xml:space="preserve"> normatīvajos aktos nepieciešams paredzēt, ka, izstrādājot un apstiprinot vietēja līmeņa plānošanas dokumentus (tostarp attiecībā uz publiskās infrastruktūras iecerēm) vai ar teritorijas attīstību saistītus plānojumus, </w:t>
      </w:r>
      <w:r w:rsidRPr="00A7716D">
        <w:rPr>
          <w:rFonts w:ascii="Arial" w:hAnsi="Arial" w:cs="Arial"/>
          <w:sz w:val="22"/>
          <w:szCs w:val="22"/>
          <w:shd w:val="clear" w:color="auto" w:fill="FFFFFF"/>
        </w:rPr>
        <w:t xml:space="preserve">veicams elektronisko sakaru platjoslas pārklājuma stāvokļa novērtējums un veicamas platjoslas pārklājuma izvēršanas un uzlabošanas darbības. </w:t>
      </w:r>
      <w:r w:rsidRPr="00A7716D">
        <w:rPr>
          <w:rFonts w:ascii="Arial" w:hAnsi="Arial" w:cs="Arial"/>
          <w:sz w:val="22"/>
          <w:szCs w:val="22"/>
        </w:rPr>
        <w:t xml:space="preserve"> Piemēram, pašvaldības sekmētu 5G mobilo sakaru tīkla attīstību, ja teritorijas attīstības ietvaros, piemēram, industriālā parka izbūvē, izvirzītu attīstītājiem obligātu prasību nodrošināt 5G pārklājumu attiecīgajā objektā, kas nodrošinātu elektronisko sakaru komersantu 5G atbalsta infrastruktūras (tajā skaitā, kabeļu kanalizāciju, elektrības pievadu, mastu, radioiekārtu u.c.) izbūvi. </w:t>
      </w:r>
    </w:p>
    <w:p w14:paraId="54E09732" w14:textId="77777777" w:rsidR="00A7716D" w:rsidRPr="00A7716D" w:rsidRDefault="00A7716D" w:rsidP="00A7716D">
      <w:pPr>
        <w:spacing w:after="120"/>
        <w:jc w:val="both"/>
        <w:textAlignment w:val="baseline"/>
        <w:rPr>
          <w:rFonts w:ascii="Arial" w:hAnsi="Arial" w:cs="Arial"/>
          <w:b/>
          <w:sz w:val="22"/>
          <w:szCs w:val="22"/>
          <w:shd w:val="clear" w:color="auto" w:fill="FFFFFF"/>
        </w:rPr>
      </w:pPr>
      <w:r w:rsidRPr="00A7716D">
        <w:rPr>
          <w:rFonts w:ascii="Arial" w:hAnsi="Arial" w:cs="Arial"/>
          <w:b/>
          <w:sz w:val="22"/>
          <w:szCs w:val="22"/>
          <w:shd w:val="clear" w:color="auto" w:fill="FFFFFF"/>
        </w:rPr>
        <w:t>Priekšlikums:</w:t>
      </w:r>
    </w:p>
    <w:p w14:paraId="47154AAE" w14:textId="77777777" w:rsidR="00A7716D" w:rsidRPr="00A7716D" w:rsidRDefault="00A7716D" w:rsidP="00A7716D">
      <w:pPr>
        <w:spacing w:after="120"/>
        <w:jc w:val="both"/>
        <w:textAlignment w:val="baseline"/>
        <w:rPr>
          <w:rFonts w:ascii="Arial" w:hAnsi="Arial" w:cs="Arial"/>
          <w:sz w:val="22"/>
          <w:szCs w:val="22"/>
          <w:shd w:val="clear" w:color="auto" w:fill="FFFFFF"/>
        </w:rPr>
      </w:pPr>
      <w:r w:rsidRPr="00A7716D">
        <w:rPr>
          <w:rFonts w:ascii="Arial" w:hAnsi="Arial" w:cs="Arial"/>
          <w:sz w:val="22"/>
          <w:szCs w:val="22"/>
          <w:shd w:val="clear" w:color="auto" w:fill="FFFFFF"/>
        </w:rPr>
        <w:t xml:space="preserve">Plāns ir papildināms ar papildu atsevišķu rīcības virzienu “Elektronisko sakaru tīklu izvēršanas atvieglošana un izmaksu samazināšana”, paredzot politikas uzdevumus, kas veicinātu gan fiksēto, gan arī mobilo sakaru tīklu izbūvi. </w:t>
      </w:r>
    </w:p>
    <w:p w14:paraId="16DED62C" w14:textId="77777777" w:rsidR="00D17C4E" w:rsidRPr="00A7716D" w:rsidRDefault="00D17C4E" w:rsidP="00D17C4E">
      <w:pPr>
        <w:autoSpaceDE w:val="0"/>
        <w:autoSpaceDN w:val="0"/>
        <w:adjustRightInd w:val="0"/>
        <w:spacing w:after="120"/>
        <w:jc w:val="both"/>
        <w:rPr>
          <w:rFonts w:ascii="Arial" w:hAnsi="Arial" w:cs="Arial"/>
          <w:sz w:val="22"/>
          <w:szCs w:val="22"/>
        </w:rPr>
      </w:pPr>
    </w:p>
    <w:p w14:paraId="7DCB0B1B" w14:textId="77777777" w:rsidR="00D17C4E" w:rsidRPr="00A7716D" w:rsidRDefault="00D17C4E" w:rsidP="00D17C4E">
      <w:pPr>
        <w:autoSpaceDE w:val="0"/>
        <w:autoSpaceDN w:val="0"/>
        <w:adjustRightInd w:val="0"/>
        <w:spacing w:after="120"/>
        <w:ind w:firstLine="720"/>
        <w:jc w:val="both"/>
        <w:rPr>
          <w:rFonts w:ascii="Arial" w:hAnsi="Arial" w:cs="Arial"/>
          <w:sz w:val="22"/>
          <w:szCs w:val="22"/>
        </w:rPr>
      </w:pPr>
      <w:r w:rsidRPr="00A7716D">
        <w:rPr>
          <w:rFonts w:ascii="Arial" w:hAnsi="Arial" w:cs="Arial"/>
          <w:sz w:val="22"/>
          <w:szCs w:val="22"/>
        </w:rPr>
        <w:t>2. LDDK iebilst pret Plānu kopumā</w:t>
      </w:r>
      <w:r w:rsidR="003E5E87">
        <w:rPr>
          <w:rFonts w:ascii="Arial" w:hAnsi="Arial" w:cs="Arial"/>
          <w:sz w:val="22"/>
          <w:szCs w:val="22"/>
        </w:rPr>
        <w:t xml:space="preserve"> un tajā ietvertajiem politikas mērķiem</w:t>
      </w:r>
      <w:r w:rsidRPr="00A7716D">
        <w:rPr>
          <w:rFonts w:ascii="Arial" w:hAnsi="Arial" w:cs="Arial"/>
          <w:sz w:val="22"/>
          <w:szCs w:val="22"/>
        </w:rPr>
        <w:t>:</w:t>
      </w:r>
    </w:p>
    <w:p w14:paraId="717602B1" w14:textId="77777777" w:rsidR="00D17C4E" w:rsidRPr="00A7716D" w:rsidRDefault="00D17C4E" w:rsidP="00D17C4E">
      <w:pPr>
        <w:autoSpaceDE w:val="0"/>
        <w:autoSpaceDN w:val="0"/>
        <w:adjustRightInd w:val="0"/>
        <w:spacing w:after="120"/>
        <w:jc w:val="both"/>
        <w:rPr>
          <w:rFonts w:ascii="Arial" w:hAnsi="Arial" w:cs="Arial"/>
          <w:b/>
          <w:sz w:val="22"/>
          <w:szCs w:val="22"/>
        </w:rPr>
      </w:pPr>
      <w:r w:rsidRPr="00A7716D">
        <w:rPr>
          <w:rFonts w:ascii="Arial" w:hAnsi="Arial" w:cs="Arial"/>
          <w:b/>
          <w:sz w:val="22"/>
          <w:szCs w:val="22"/>
        </w:rPr>
        <w:t>Pamatojums:</w:t>
      </w:r>
    </w:p>
    <w:p w14:paraId="5752321E" w14:textId="77777777" w:rsidR="00D17C4E" w:rsidRPr="00A7716D" w:rsidRDefault="00D17C4E" w:rsidP="00D17C4E">
      <w:pPr>
        <w:autoSpaceDE w:val="0"/>
        <w:autoSpaceDN w:val="0"/>
        <w:adjustRightInd w:val="0"/>
        <w:spacing w:after="120"/>
        <w:jc w:val="both"/>
        <w:rPr>
          <w:rFonts w:ascii="Arial" w:hAnsi="Arial" w:cs="Arial"/>
          <w:sz w:val="22"/>
          <w:szCs w:val="22"/>
        </w:rPr>
      </w:pPr>
      <w:r w:rsidRPr="00A7716D">
        <w:rPr>
          <w:rFonts w:ascii="Arial" w:hAnsi="Arial" w:cs="Arial"/>
          <w:sz w:val="22"/>
          <w:szCs w:val="22"/>
        </w:rPr>
        <w:t>LDDK ieskatā Plānā iztrūkst politikas mērķu, kas būtu vērsti uz risinājumu vai preventīvu darbību noteikšanu šādiem nozarei būtiskiem aspektiem:</w:t>
      </w:r>
    </w:p>
    <w:p w14:paraId="07597F72" w14:textId="77777777" w:rsidR="00D17C4E" w:rsidRPr="00A7716D" w:rsidRDefault="00D17C4E" w:rsidP="00D17C4E">
      <w:pPr>
        <w:autoSpaceDE w:val="0"/>
        <w:autoSpaceDN w:val="0"/>
        <w:adjustRightInd w:val="0"/>
        <w:spacing w:after="120"/>
        <w:jc w:val="both"/>
        <w:rPr>
          <w:rFonts w:ascii="Arial" w:hAnsi="Arial" w:cs="Arial"/>
          <w:sz w:val="22"/>
          <w:szCs w:val="22"/>
        </w:rPr>
      </w:pPr>
      <w:r w:rsidRPr="00A7716D">
        <w:rPr>
          <w:rFonts w:ascii="Arial" w:hAnsi="Arial" w:cs="Arial"/>
          <w:sz w:val="22"/>
          <w:szCs w:val="22"/>
        </w:rPr>
        <w:t xml:space="preserve">1) Konkurences veicināšana; </w:t>
      </w:r>
    </w:p>
    <w:p w14:paraId="0F7AE407" w14:textId="77777777" w:rsidR="00D17C4E" w:rsidRPr="00A7716D" w:rsidRDefault="00D17C4E" w:rsidP="00D17C4E">
      <w:pPr>
        <w:autoSpaceDE w:val="0"/>
        <w:autoSpaceDN w:val="0"/>
        <w:adjustRightInd w:val="0"/>
        <w:spacing w:after="120"/>
        <w:jc w:val="both"/>
        <w:rPr>
          <w:rFonts w:ascii="Arial" w:hAnsi="Arial" w:cs="Arial"/>
          <w:sz w:val="22"/>
          <w:szCs w:val="22"/>
        </w:rPr>
      </w:pPr>
      <w:r w:rsidRPr="00A7716D">
        <w:rPr>
          <w:rFonts w:ascii="Arial" w:hAnsi="Arial" w:cs="Arial"/>
          <w:sz w:val="22"/>
          <w:szCs w:val="22"/>
        </w:rPr>
        <w:t xml:space="preserve">2) Sabiedrības izglītošana (jo īpaši 5G jomā); </w:t>
      </w:r>
    </w:p>
    <w:p w14:paraId="788A8913" w14:textId="77777777" w:rsidR="00D17C4E" w:rsidRPr="00A7716D" w:rsidRDefault="00D17C4E" w:rsidP="00D17C4E">
      <w:pPr>
        <w:autoSpaceDE w:val="0"/>
        <w:autoSpaceDN w:val="0"/>
        <w:adjustRightInd w:val="0"/>
        <w:spacing w:after="120"/>
        <w:jc w:val="both"/>
        <w:rPr>
          <w:rFonts w:ascii="Arial" w:hAnsi="Arial" w:cs="Arial"/>
          <w:sz w:val="22"/>
          <w:szCs w:val="22"/>
        </w:rPr>
      </w:pPr>
      <w:r w:rsidRPr="00A7716D">
        <w:rPr>
          <w:rFonts w:ascii="Arial" w:hAnsi="Arial" w:cs="Arial"/>
          <w:sz w:val="22"/>
          <w:szCs w:val="22"/>
        </w:rPr>
        <w:t xml:space="preserve">3) Par nozari pieejamo datu kvalitātes uzlabošana -  pārskatāma, atsekojama pakalpojumus raksturojošo lielumu mērījumu vienotība, mērīšanas līdzekļu atbilstība un mērījumu pareizības garantija; </w:t>
      </w:r>
    </w:p>
    <w:p w14:paraId="75B9A85E" w14:textId="77777777" w:rsidR="00D17C4E" w:rsidRPr="00A7716D" w:rsidRDefault="004A74CD" w:rsidP="00D17C4E">
      <w:pPr>
        <w:autoSpaceDE w:val="0"/>
        <w:autoSpaceDN w:val="0"/>
        <w:adjustRightInd w:val="0"/>
        <w:spacing w:after="120"/>
        <w:jc w:val="both"/>
        <w:rPr>
          <w:rFonts w:ascii="Arial" w:hAnsi="Arial" w:cs="Arial"/>
          <w:sz w:val="22"/>
          <w:szCs w:val="22"/>
        </w:rPr>
      </w:pPr>
      <w:r>
        <w:rPr>
          <w:rFonts w:ascii="Arial" w:hAnsi="Arial" w:cs="Arial"/>
          <w:sz w:val="22"/>
          <w:szCs w:val="22"/>
        </w:rPr>
        <w:t>4</w:t>
      </w:r>
      <w:r w:rsidR="00D17C4E" w:rsidRPr="00A7716D">
        <w:rPr>
          <w:rFonts w:ascii="Arial" w:hAnsi="Arial" w:cs="Arial"/>
          <w:sz w:val="22"/>
          <w:szCs w:val="22"/>
        </w:rPr>
        <w:t>) Administratīvā sloga un kopējā nodevu maksājumu apjoma pieauguma novērtējums kontekstā ar nozares attīstības mērķiem;</w:t>
      </w:r>
    </w:p>
    <w:p w14:paraId="6E7D11C3" w14:textId="77777777" w:rsidR="00D17C4E" w:rsidRPr="00A7716D" w:rsidRDefault="004A74CD" w:rsidP="00D17C4E">
      <w:pPr>
        <w:autoSpaceDE w:val="0"/>
        <w:autoSpaceDN w:val="0"/>
        <w:adjustRightInd w:val="0"/>
        <w:spacing w:after="120"/>
        <w:jc w:val="both"/>
        <w:rPr>
          <w:rFonts w:ascii="Arial" w:hAnsi="Arial" w:cs="Arial"/>
          <w:sz w:val="22"/>
          <w:szCs w:val="22"/>
        </w:rPr>
      </w:pPr>
      <w:r>
        <w:rPr>
          <w:rFonts w:ascii="Arial" w:hAnsi="Arial" w:cs="Arial"/>
          <w:sz w:val="22"/>
          <w:szCs w:val="22"/>
        </w:rPr>
        <w:t>5</w:t>
      </w:r>
      <w:r w:rsidR="00D17C4E" w:rsidRPr="00A7716D">
        <w:rPr>
          <w:rFonts w:ascii="Arial" w:hAnsi="Arial" w:cs="Arial"/>
          <w:sz w:val="22"/>
          <w:szCs w:val="22"/>
        </w:rPr>
        <w:t xml:space="preserve">) Priekšnoteikumi un stimuli inovāciju īpatsvara nozarē kāpinājumam. </w:t>
      </w:r>
    </w:p>
    <w:p w14:paraId="4F1F4A2B" w14:textId="77777777" w:rsidR="00D17C4E" w:rsidRPr="00A7716D" w:rsidRDefault="00D17C4E" w:rsidP="00D17C4E">
      <w:pPr>
        <w:autoSpaceDE w:val="0"/>
        <w:autoSpaceDN w:val="0"/>
        <w:adjustRightInd w:val="0"/>
        <w:spacing w:after="120"/>
        <w:jc w:val="both"/>
        <w:rPr>
          <w:rFonts w:ascii="Arial" w:hAnsi="Arial" w:cs="Arial"/>
          <w:sz w:val="22"/>
          <w:szCs w:val="22"/>
        </w:rPr>
      </w:pPr>
    </w:p>
    <w:p w14:paraId="7E6D35D9" w14:textId="77777777" w:rsidR="00D17C4E" w:rsidRPr="00A7716D" w:rsidRDefault="00D17C4E" w:rsidP="00D17C4E">
      <w:pPr>
        <w:autoSpaceDE w:val="0"/>
        <w:autoSpaceDN w:val="0"/>
        <w:adjustRightInd w:val="0"/>
        <w:spacing w:after="120"/>
        <w:jc w:val="both"/>
        <w:rPr>
          <w:rFonts w:ascii="Arial" w:hAnsi="Arial" w:cs="Arial"/>
          <w:b/>
          <w:sz w:val="22"/>
          <w:szCs w:val="22"/>
        </w:rPr>
      </w:pPr>
      <w:r w:rsidRPr="00A7716D">
        <w:rPr>
          <w:rFonts w:ascii="Arial" w:hAnsi="Arial" w:cs="Arial"/>
          <w:b/>
          <w:sz w:val="22"/>
          <w:szCs w:val="22"/>
        </w:rPr>
        <w:t>Priekšlikums:</w:t>
      </w:r>
    </w:p>
    <w:p w14:paraId="3EB7CB0E" w14:textId="77777777" w:rsidR="00D17C4E" w:rsidRPr="00A7716D" w:rsidRDefault="00D17C4E" w:rsidP="00D17C4E">
      <w:pPr>
        <w:autoSpaceDE w:val="0"/>
        <w:autoSpaceDN w:val="0"/>
        <w:adjustRightInd w:val="0"/>
        <w:spacing w:after="120"/>
        <w:jc w:val="both"/>
        <w:rPr>
          <w:rFonts w:ascii="Arial" w:hAnsi="Arial" w:cs="Arial"/>
          <w:sz w:val="22"/>
          <w:szCs w:val="22"/>
        </w:rPr>
      </w:pPr>
      <w:r w:rsidRPr="00A7716D">
        <w:rPr>
          <w:rFonts w:ascii="Arial" w:hAnsi="Arial" w:cs="Arial"/>
          <w:sz w:val="22"/>
          <w:szCs w:val="22"/>
        </w:rPr>
        <w:t xml:space="preserve">Papildināt Plānu ar politikas mērķiem, kas būtu vērsti uz </w:t>
      </w:r>
      <w:r w:rsidR="00A7716D" w:rsidRPr="00A7716D">
        <w:rPr>
          <w:rFonts w:ascii="Arial" w:hAnsi="Arial" w:cs="Arial"/>
          <w:sz w:val="22"/>
          <w:szCs w:val="22"/>
        </w:rPr>
        <w:t>risinājumu vai preventīvu darbību noteikšanu nozarei būtiskiem aspektiem.</w:t>
      </w:r>
    </w:p>
    <w:p w14:paraId="2BF5B06E" w14:textId="77777777" w:rsidR="00D17C4E" w:rsidRPr="00A7716D" w:rsidRDefault="00D17C4E" w:rsidP="00D17C4E">
      <w:pPr>
        <w:spacing w:after="120"/>
        <w:jc w:val="both"/>
        <w:rPr>
          <w:rFonts w:ascii="Arial" w:hAnsi="Arial" w:cs="Arial"/>
          <w:sz w:val="22"/>
          <w:szCs w:val="22"/>
        </w:rPr>
      </w:pPr>
    </w:p>
    <w:p w14:paraId="447F8D33" w14:textId="77777777" w:rsidR="00505E0A" w:rsidRDefault="00505E0A">
      <w:pPr>
        <w:rPr>
          <w:rFonts w:ascii="Arial" w:hAnsi="Arial" w:cs="Arial"/>
          <w:sz w:val="22"/>
          <w:szCs w:val="22"/>
        </w:rPr>
      </w:pPr>
    </w:p>
    <w:p w14:paraId="0B7E255C" w14:textId="14FD6AF6" w:rsidR="00821502" w:rsidRPr="00A7716D" w:rsidRDefault="00A7716D" w:rsidP="00505E0A">
      <w:pPr>
        <w:jc w:val="both"/>
        <w:rPr>
          <w:rFonts w:ascii="Arial" w:hAnsi="Arial" w:cs="Arial"/>
          <w:sz w:val="22"/>
          <w:szCs w:val="22"/>
        </w:rPr>
      </w:pPr>
      <w:r w:rsidRPr="00A7716D">
        <w:rPr>
          <w:rFonts w:ascii="Arial" w:hAnsi="Arial" w:cs="Arial"/>
          <w:sz w:val="22"/>
          <w:szCs w:val="22"/>
        </w:rPr>
        <w:t xml:space="preserve">Ģenerāldirektore </w:t>
      </w:r>
      <w:r w:rsidRPr="00A7716D">
        <w:rPr>
          <w:rFonts w:ascii="Arial" w:hAnsi="Arial" w:cs="Arial"/>
          <w:sz w:val="22"/>
          <w:szCs w:val="22"/>
        </w:rPr>
        <w:tab/>
      </w:r>
      <w:r w:rsidRPr="00A7716D">
        <w:rPr>
          <w:rFonts w:ascii="Arial" w:hAnsi="Arial" w:cs="Arial"/>
          <w:sz w:val="22"/>
          <w:szCs w:val="22"/>
        </w:rPr>
        <w:tab/>
      </w:r>
      <w:r w:rsidRPr="00A7716D">
        <w:rPr>
          <w:rFonts w:ascii="Arial" w:hAnsi="Arial" w:cs="Arial"/>
          <w:sz w:val="22"/>
          <w:szCs w:val="22"/>
        </w:rPr>
        <w:tab/>
      </w:r>
      <w:r w:rsidRPr="00A7716D">
        <w:rPr>
          <w:rFonts w:ascii="Arial" w:hAnsi="Arial" w:cs="Arial"/>
          <w:sz w:val="22"/>
          <w:szCs w:val="22"/>
        </w:rPr>
        <w:tab/>
      </w:r>
      <w:r w:rsidRPr="00A7716D">
        <w:rPr>
          <w:rFonts w:ascii="Arial" w:hAnsi="Arial" w:cs="Arial"/>
          <w:sz w:val="22"/>
          <w:szCs w:val="22"/>
        </w:rPr>
        <w:tab/>
      </w:r>
      <w:r w:rsidRPr="00A7716D">
        <w:rPr>
          <w:rFonts w:ascii="Arial" w:hAnsi="Arial" w:cs="Arial"/>
          <w:sz w:val="22"/>
          <w:szCs w:val="22"/>
        </w:rPr>
        <w:tab/>
        <w:t>L</w:t>
      </w:r>
      <w:r w:rsidR="00505E0A">
        <w:rPr>
          <w:rFonts w:ascii="Arial" w:hAnsi="Arial" w:cs="Arial"/>
          <w:sz w:val="22"/>
          <w:szCs w:val="22"/>
        </w:rPr>
        <w:t xml:space="preserve">īga </w:t>
      </w:r>
      <w:r w:rsidRPr="00A7716D">
        <w:rPr>
          <w:rFonts w:ascii="Arial" w:hAnsi="Arial" w:cs="Arial"/>
          <w:sz w:val="22"/>
          <w:szCs w:val="22"/>
        </w:rPr>
        <w:t>Meņģelsone</w:t>
      </w:r>
    </w:p>
    <w:p w14:paraId="016BF326" w14:textId="77777777" w:rsidR="00A7716D" w:rsidRPr="00A7716D" w:rsidRDefault="00A7716D" w:rsidP="00505E0A">
      <w:pPr>
        <w:jc w:val="both"/>
        <w:rPr>
          <w:rFonts w:ascii="Arial" w:hAnsi="Arial" w:cs="Arial"/>
          <w:sz w:val="22"/>
          <w:szCs w:val="22"/>
        </w:rPr>
      </w:pPr>
    </w:p>
    <w:p w14:paraId="255B992D" w14:textId="21DE2AB4" w:rsidR="00A7716D" w:rsidRPr="00505E0A" w:rsidRDefault="00505E0A" w:rsidP="00505E0A">
      <w:pPr>
        <w:rPr>
          <w:rFonts w:ascii="Arial" w:hAnsi="Arial" w:cs="Arial"/>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E0A">
        <w:rPr>
          <w:rFonts w:ascii="Arial" w:hAnsi="Arial" w:cs="Arial"/>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DOKUMENTS PARAKSTĪTS AR DROŠU ELEKTRONISKO PARAKSTU UN SATUR LAIKA ZĪMOGU</w:t>
      </w:r>
    </w:p>
    <w:p w14:paraId="61D7A9E9" w14:textId="77777777" w:rsidR="00505E0A" w:rsidRDefault="00505E0A">
      <w:pPr>
        <w:rPr>
          <w:rFonts w:ascii="Arial" w:hAnsi="Arial" w:cs="Arial"/>
          <w:sz w:val="20"/>
          <w:szCs w:val="20"/>
        </w:rPr>
      </w:pPr>
    </w:p>
    <w:p w14:paraId="3A16F173" w14:textId="77777777" w:rsidR="00505E0A" w:rsidRDefault="00505E0A">
      <w:pPr>
        <w:rPr>
          <w:rFonts w:ascii="Arial" w:hAnsi="Arial" w:cs="Arial"/>
          <w:sz w:val="20"/>
          <w:szCs w:val="20"/>
        </w:rPr>
      </w:pPr>
    </w:p>
    <w:p w14:paraId="45C76897" w14:textId="77777777" w:rsidR="00505E0A" w:rsidRDefault="00505E0A">
      <w:pPr>
        <w:rPr>
          <w:rFonts w:ascii="Arial" w:hAnsi="Arial" w:cs="Arial"/>
          <w:sz w:val="20"/>
          <w:szCs w:val="20"/>
        </w:rPr>
      </w:pPr>
    </w:p>
    <w:p w14:paraId="461018CF" w14:textId="1D3999A1" w:rsidR="00A7716D" w:rsidRPr="00505E0A" w:rsidRDefault="00A7716D">
      <w:pPr>
        <w:rPr>
          <w:rFonts w:ascii="Arial" w:hAnsi="Arial" w:cs="Arial"/>
          <w:sz w:val="18"/>
          <w:szCs w:val="18"/>
        </w:rPr>
      </w:pPr>
      <w:r w:rsidRPr="00505E0A">
        <w:rPr>
          <w:rFonts w:ascii="Arial" w:hAnsi="Arial" w:cs="Arial"/>
          <w:sz w:val="18"/>
          <w:szCs w:val="18"/>
        </w:rPr>
        <w:t>Olafsone, 67225162</w:t>
      </w:r>
    </w:p>
    <w:p w14:paraId="72948AC9" w14:textId="77777777" w:rsidR="00A7716D" w:rsidRPr="00505E0A" w:rsidRDefault="00A7716D">
      <w:pPr>
        <w:rPr>
          <w:rFonts w:ascii="Arial" w:hAnsi="Arial" w:cs="Arial"/>
          <w:sz w:val="18"/>
          <w:szCs w:val="18"/>
        </w:rPr>
      </w:pPr>
      <w:r w:rsidRPr="00505E0A">
        <w:rPr>
          <w:rFonts w:ascii="Arial" w:hAnsi="Arial" w:cs="Arial"/>
          <w:sz w:val="18"/>
          <w:szCs w:val="18"/>
        </w:rPr>
        <w:t>Inese.olafsone@lddk.lv</w:t>
      </w:r>
    </w:p>
    <w:sectPr w:rsidR="00A7716D" w:rsidRPr="00505E0A" w:rsidSect="00505E0A">
      <w:headerReference w:type="default" r:id="rId7"/>
      <w:footerReference w:type="default" r:id="rId8"/>
      <w:headerReference w:type="first" r:id="rId9"/>
      <w:footerReference w:type="first" r:id="rId10"/>
      <w:pgSz w:w="11906" w:h="16838"/>
      <w:pgMar w:top="1985"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BA1F" w14:textId="77777777" w:rsidR="00035273" w:rsidRDefault="00035273" w:rsidP="00D17C4E">
      <w:r>
        <w:separator/>
      </w:r>
    </w:p>
  </w:endnote>
  <w:endnote w:type="continuationSeparator" w:id="0">
    <w:p w14:paraId="5247F6A1" w14:textId="77777777" w:rsidR="00035273" w:rsidRDefault="00035273" w:rsidP="00D1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863351"/>
      <w:docPartObj>
        <w:docPartGallery w:val="Page Numbers (Bottom of Page)"/>
        <w:docPartUnique/>
      </w:docPartObj>
    </w:sdtPr>
    <w:sdtEndPr>
      <w:rPr>
        <w:noProof/>
      </w:rPr>
    </w:sdtEndPr>
    <w:sdtContent>
      <w:p w14:paraId="04504044" w14:textId="77777777" w:rsidR="00505E0A" w:rsidRPr="00D70523" w:rsidRDefault="00505E0A" w:rsidP="00505E0A">
        <w:pPr>
          <w:pStyle w:val="Footer"/>
          <w:jc w:val="center"/>
          <w:rPr>
            <w:rFonts w:ascii="Arial Narrow" w:hAnsi="Arial Narrow"/>
            <w:sz w:val="14"/>
          </w:rPr>
        </w:pPr>
        <w:r w:rsidRPr="00D70523">
          <w:rPr>
            <w:rFonts w:ascii="Arial Narrow" w:hAnsi="Arial Narrow"/>
            <w:sz w:val="14"/>
          </w:rPr>
          <w:t xml:space="preserve">V    A    L    D    Ī    B    A    S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w:t>
        </w:r>
        <w:proofErr w:type="spellStart"/>
        <w:r w:rsidRPr="00D70523">
          <w:rPr>
            <w:rFonts w:ascii="Arial Narrow" w:hAnsi="Arial Narrow"/>
            <w:sz w:val="14"/>
          </w:rPr>
          <w:t>S</w:t>
        </w:r>
        <w:proofErr w:type="spellEnd"/>
        <w:r w:rsidRPr="00D70523">
          <w:rPr>
            <w:rFonts w:ascii="Arial Narrow" w:hAnsi="Arial Narrow"/>
            <w:sz w:val="14"/>
          </w:rPr>
          <w:t xml:space="preserve">    O    C    I    Ā    L    A    I    S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P    A    R    T    N    E    R    I    S</w:t>
        </w:r>
      </w:p>
      <w:p w14:paraId="15BE3078" w14:textId="77777777" w:rsidR="00505E0A" w:rsidRDefault="00505E0A" w:rsidP="00505E0A">
        <w:pPr>
          <w:pStyle w:val="Footer"/>
          <w:jc w:val="center"/>
          <w:rPr>
            <w:rFonts w:ascii="Arial Narrow" w:hAnsi="Arial Narrow"/>
            <w:sz w:val="18"/>
          </w:rPr>
        </w:pPr>
        <w:r>
          <w:rPr>
            <w:rFonts w:ascii="Arial Narrow" w:hAnsi="Arial Narrow"/>
            <w:sz w:val="18"/>
          </w:rPr>
          <w:t>_____________________________________________________________________________________________________</w:t>
        </w:r>
      </w:p>
      <w:p w14:paraId="3C56352D" w14:textId="77777777" w:rsidR="00505E0A" w:rsidRDefault="00505E0A" w:rsidP="00505E0A">
        <w:pPr>
          <w:pStyle w:val="Footer"/>
          <w:jc w:val="center"/>
          <w:rPr>
            <w:rFonts w:ascii="Arial Narrow" w:hAnsi="Arial Narrow"/>
            <w:sz w:val="18"/>
          </w:rPr>
        </w:pPr>
      </w:p>
      <w:p w14:paraId="5242C10F" w14:textId="77777777" w:rsidR="00505E0A" w:rsidRPr="00A23C0A" w:rsidRDefault="00505E0A" w:rsidP="00505E0A">
        <w:pPr>
          <w:pStyle w:val="Footer"/>
          <w:jc w:val="center"/>
          <w:rPr>
            <w:rFonts w:ascii="Arial Narrow" w:hAnsi="Arial Narrow"/>
            <w:sz w:val="18"/>
          </w:rPr>
        </w:pPr>
        <w:r>
          <w:rPr>
            <w:rFonts w:ascii="Arial Narrow" w:hAnsi="Arial Narrow"/>
            <w:sz w:val="18"/>
          </w:rPr>
          <w:t>Raiņa bulvāris 4, 2. stāvs, Rīga, LV-105</w:t>
        </w:r>
        <w:r w:rsidRPr="00A23C0A">
          <w:rPr>
            <w:rFonts w:ascii="Arial Narrow" w:hAnsi="Arial Narrow"/>
            <w:sz w:val="18"/>
          </w:rPr>
          <w:t xml:space="preserve">0, Tālr.: +371 67225162, Fakss: +371 67224469, </w:t>
        </w:r>
      </w:p>
      <w:p w14:paraId="10E5E675" w14:textId="37FADD31" w:rsidR="00A7716D" w:rsidRPr="00505E0A" w:rsidRDefault="00505E0A" w:rsidP="00505E0A">
        <w:pPr>
          <w:pStyle w:val="Footer"/>
          <w:jc w:val="center"/>
          <w:rPr>
            <w:rFonts w:ascii="Arial Narrow" w:hAnsi="Arial Narrow"/>
            <w:sz w:val="18"/>
          </w:rPr>
        </w:pPr>
        <w:r w:rsidRPr="00A23C0A">
          <w:rPr>
            <w:rFonts w:ascii="Arial Narrow" w:hAnsi="Arial Narrow"/>
            <w:sz w:val="18"/>
          </w:rPr>
          <w:t xml:space="preserve">E-pasts: lddk@lddk.lv, Vien.reģ.nr. 40008004918, Reģ.Nr. ES </w:t>
        </w:r>
        <w:proofErr w:type="spellStart"/>
        <w:r w:rsidRPr="00A23C0A">
          <w:rPr>
            <w:rFonts w:ascii="Arial Narrow" w:hAnsi="Arial Narrow"/>
            <w:sz w:val="18"/>
          </w:rPr>
          <w:t>Pārredzamības</w:t>
        </w:r>
        <w:proofErr w:type="spellEnd"/>
        <w:r w:rsidRPr="00A23C0A">
          <w:rPr>
            <w:rFonts w:ascii="Arial Narrow" w:hAnsi="Arial Narrow"/>
            <w:sz w:val="18"/>
          </w:rPr>
          <w:t xml:space="preserve"> reģistrā 968177917885-14, www.lddk.lv</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EB31" w14:textId="77777777" w:rsidR="00505E0A" w:rsidRPr="00D70523" w:rsidRDefault="00505E0A" w:rsidP="00505E0A">
    <w:pPr>
      <w:pStyle w:val="Footer"/>
      <w:jc w:val="center"/>
      <w:rPr>
        <w:rFonts w:ascii="Arial Narrow" w:hAnsi="Arial Narrow"/>
        <w:sz w:val="14"/>
      </w:rPr>
    </w:pPr>
    <w:r w:rsidRPr="00D70523">
      <w:rPr>
        <w:rFonts w:ascii="Arial Narrow" w:hAnsi="Arial Narrow"/>
        <w:sz w:val="14"/>
      </w:rPr>
      <w:t xml:space="preserve">V    A    L    D    Ī    B    A    S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w:t>
    </w:r>
    <w:proofErr w:type="spellStart"/>
    <w:r w:rsidRPr="00D70523">
      <w:rPr>
        <w:rFonts w:ascii="Arial Narrow" w:hAnsi="Arial Narrow"/>
        <w:sz w:val="14"/>
      </w:rPr>
      <w:t>S</w:t>
    </w:r>
    <w:proofErr w:type="spellEnd"/>
    <w:r w:rsidRPr="00D70523">
      <w:rPr>
        <w:rFonts w:ascii="Arial Narrow" w:hAnsi="Arial Narrow"/>
        <w:sz w:val="14"/>
      </w:rPr>
      <w:t xml:space="preserve">    O    C    I    Ā    L    A    I    S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P    A    R    T    N    E    R    I    S</w:t>
    </w:r>
  </w:p>
  <w:p w14:paraId="0A8C875A" w14:textId="77777777" w:rsidR="00505E0A" w:rsidRDefault="00505E0A" w:rsidP="00505E0A">
    <w:pPr>
      <w:pStyle w:val="Footer"/>
      <w:jc w:val="center"/>
      <w:rPr>
        <w:rFonts w:ascii="Arial Narrow" w:hAnsi="Arial Narrow"/>
        <w:sz w:val="18"/>
      </w:rPr>
    </w:pPr>
    <w:r>
      <w:rPr>
        <w:rFonts w:ascii="Arial Narrow" w:hAnsi="Arial Narrow"/>
        <w:sz w:val="18"/>
      </w:rPr>
      <w:t>_____________________________________________________________________________________________________</w:t>
    </w:r>
  </w:p>
  <w:p w14:paraId="4C314549" w14:textId="77777777" w:rsidR="00505E0A" w:rsidRDefault="00505E0A" w:rsidP="00505E0A">
    <w:pPr>
      <w:pStyle w:val="Footer"/>
      <w:jc w:val="center"/>
      <w:rPr>
        <w:rFonts w:ascii="Arial Narrow" w:hAnsi="Arial Narrow"/>
        <w:sz w:val="18"/>
      </w:rPr>
    </w:pPr>
  </w:p>
  <w:p w14:paraId="193BE733" w14:textId="77777777" w:rsidR="00505E0A" w:rsidRPr="00A23C0A" w:rsidRDefault="00505E0A" w:rsidP="00505E0A">
    <w:pPr>
      <w:pStyle w:val="Footer"/>
      <w:jc w:val="center"/>
      <w:rPr>
        <w:rFonts w:ascii="Arial Narrow" w:hAnsi="Arial Narrow"/>
        <w:sz w:val="18"/>
      </w:rPr>
    </w:pPr>
    <w:r>
      <w:rPr>
        <w:rFonts w:ascii="Arial Narrow" w:hAnsi="Arial Narrow"/>
        <w:sz w:val="18"/>
      </w:rPr>
      <w:t>Raiņa bulvāris 4, 2. stāvs, Rīga, LV-105</w:t>
    </w:r>
    <w:r w:rsidRPr="00A23C0A">
      <w:rPr>
        <w:rFonts w:ascii="Arial Narrow" w:hAnsi="Arial Narrow"/>
        <w:sz w:val="18"/>
      </w:rPr>
      <w:t xml:space="preserve">0, Tālr.: +371 67225162, Fakss: +371 67224469, </w:t>
    </w:r>
  </w:p>
  <w:p w14:paraId="25ED2F22" w14:textId="2039551C" w:rsidR="00505E0A" w:rsidRPr="00505E0A" w:rsidRDefault="00505E0A" w:rsidP="00505E0A">
    <w:pPr>
      <w:pStyle w:val="Footer"/>
      <w:jc w:val="center"/>
      <w:rPr>
        <w:rFonts w:ascii="Arial Narrow" w:hAnsi="Arial Narrow"/>
        <w:sz w:val="18"/>
      </w:rPr>
    </w:pPr>
    <w:r w:rsidRPr="00A23C0A">
      <w:rPr>
        <w:rFonts w:ascii="Arial Narrow" w:hAnsi="Arial Narrow"/>
        <w:sz w:val="18"/>
      </w:rPr>
      <w:t xml:space="preserve">E-pasts: lddk@lddk.lv, Vien.reģ.nr. 40008004918, Reģ.Nr. ES </w:t>
    </w:r>
    <w:proofErr w:type="spellStart"/>
    <w:r w:rsidRPr="00A23C0A">
      <w:rPr>
        <w:rFonts w:ascii="Arial Narrow" w:hAnsi="Arial Narrow"/>
        <w:sz w:val="18"/>
      </w:rPr>
      <w:t>Pārredzamības</w:t>
    </w:r>
    <w:proofErr w:type="spellEnd"/>
    <w:r w:rsidRPr="00A23C0A">
      <w:rPr>
        <w:rFonts w:ascii="Arial Narrow" w:hAnsi="Arial Narrow"/>
        <w:sz w:val="18"/>
      </w:rPr>
      <w:t xml:space="preserve"> reģistrā 968177917885-14, www.lddk.lv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3169" w14:textId="77777777" w:rsidR="00035273" w:rsidRDefault="00035273" w:rsidP="00D17C4E">
      <w:r>
        <w:separator/>
      </w:r>
    </w:p>
  </w:footnote>
  <w:footnote w:type="continuationSeparator" w:id="0">
    <w:p w14:paraId="0BF190B4" w14:textId="77777777" w:rsidR="00035273" w:rsidRDefault="00035273" w:rsidP="00D17C4E">
      <w:r>
        <w:continuationSeparator/>
      </w:r>
    </w:p>
  </w:footnote>
  <w:footnote w:id="1">
    <w:p w14:paraId="343728AD" w14:textId="77777777" w:rsidR="00D17C4E" w:rsidRDefault="00D17C4E" w:rsidP="00D17C4E">
      <w:pPr>
        <w:pStyle w:val="FootnoteText"/>
      </w:pPr>
      <w:r>
        <w:rPr>
          <w:rStyle w:val="FootnoteReference"/>
        </w:rPr>
        <w:footnoteRef/>
      </w:r>
      <w:r>
        <w:t xml:space="preserve"> </w:t>
      </w:r>
      <w:hyperlink r:id="rId1" w:history="1">
        <w:r w:rsidRPr="005010A4">
          <w:rPr>
            <w:rStyle w:val="Hyperlink"/>
          </w:rPr>
          <w:t>https://www.pkc.gov.lv/lv/valsts-attistibas-planosana/attistibas-planosana-latvija</w:t>
        </w:r>
      </w:hyperlink>
      <w:r>
        <w:t xml:space="preserve">, 07.06.2021.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EF58" w14:textId="77777777" w:rsidR="00505E0A" w:rsidRDefault="00505E0A" w:rsidP="00505E0A">
    <w:pPr>
      <w:pStyle w:val="Header"/>
    </w:pPr>
    <w:r>
      <w:rPr>
        <w:rFonts w:ascii="Arial Narrow" w:hAnsi="Arial Narrow"/>
        <w:noProof/>
        <w:lang w:eastAsia="lv-LV"/>
      </w:rPr>
      <w:drawing>
        <wp:anchor distT="0" distB="0" distL="114300" distR="114300" simplePos="0" relativeHeight="251661312" behindDoc="1" locked="0" layoutInCell="1" allowOverlap="1" wp14:anchorId="7796CF64" wp14:editId="6F9F3A05">
          <wp:simplePos x="0" y="0"/>
          <wp:positionH relativeFrom="margin">
            <wp:posOffset>1604645</wp:posOffset>
          </wp:positionH>
          <wp:positionV relativeFrom="paragraph">
            <wp:posOffset>-106680</wp:posOffset>
          </wp:positionV>
          <wp:extent cx="2055245" cy="790575"/>
          <wp:effectExtent l="0" t="0" r="2540" b="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dk-logo-LV-20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245" cy="790575"/>
                  </a:xfrm>
                  <a:prstGeom prst="rect">
                    <a:avLst/>
                  </a:prstGeom>
                </pic:spPr>
              </pic:pic>
            </a:graphicData>
          </a:graphic>
          <wp14:sizeRelH relativeFrom="margin">
            <wp14:pctWidth>0</wp14:pctWidth>
          </wp14:sizeRelH>
          <wp14:sizeRelV relativeFrom="margin">
            <wp14:pctHeight>0</wp14:pctHeight>
          </wp14:sizeRelV>
        </wp:anchor>
      </w:drawing>
    </w:r>
  </w:p>
  <w:p w14:paraId="1444F9F1" w14:textId="77777777" w:rsidR="008B3DB3" w:rsidRDefault="00B51E69" w:rsidP="008B3DB3">
    <w:pPr>
      <w:pStyle w:val="Header"/>
    </w:pPr>
  </w:p>
  <w:p w14:paraId="35355204" w14:textId="77777777" w:rsidR="008B3DB3" w:rsidRDefault="00B51E69">
    <w:pPr>
      <w:pStyle w:val="Header"/>
    </w:pPr>
  </w:p>
  <w:p w14:paraId="59983785" w14:textId="77777777" w:rsidR="008B3DB3" w:rsidRDefault="00B51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1BBD" w14:textId="77777777" w:rsidR="00505E0A" w:rsidRDefault="00505E0A" w:rsidP="00505E0A">
    <w:pPr>
      <w:pStyle w:val="Header"/>
    </w:pPr>
    <w:r>
      <w:rPr>
        <w:rFonts w:ascii="Arial Narrow" w:hAnsi="Arial Narrow"/>
        <w:noProof/>
        <w:lang w:eastAsia="lv-LV"/>
      </w:rPr>
      <w:drawing>
        <wp:anchor distT="0" distB="0" distL="114300" distR="114300" simplePos="0" relativeHeight="251659264" behindDoc="1" locked="0" layoutInCell="1" allowOverlap="1" wp14:anchorId="12E03FEF" wp14:editId="40017D1B">
          <wp:simplePos x="0" y="0"/>
          <wp:positionH relativeFrom="margin">
            <wp:posOffset>1604645</wp:posOffset>
          </wp:positionH>
          <wp:positionV relativeFrom="paragraph">
            <wp:posOffset>-106680</wp:posOffset>
          </wp:positionV>
          <wp:extent cx="2055245" cy="790575"/>
          <wp:effectExtent l="0" t="0" r="254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dk-logo-LV-20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245" cy="790575"/>
                  </a:xfrm>
                  <a:prstGeom prst="rect">
                    <a:avLst/>
                  </a:prstGeom>
                </pic:spPr>
              </pic:pic>
            </a:graphicData>
          </a:graphic>
          <wp14:sizeRelH relativeFrom="margin">
            <wp14:pctWidth>0</wp14:pctWidth>
          </wp14:sizeRelH>
          <wp14:sizeRelV relativeFrom="margin">
            <wp14:pctHeight>0</wp14:pctHeight>
          </wp14:sizeRelV>
        </wp:anchor>
      </w:drawing>
    </w:r>
  </w:p>
  <w:p w14:paraId="4D32046A" w14:textId="77777777" w:rsidR="00505E0A" w:rsidRDefault="00505E0A" w:rsidP="00505E0A">
    <w:pPr>
      <w:pStyle w:val="Header"/>
      <w:jc w:val="center"/>
    </w:pPr>
  </w:p>
  <w:p w14:paraId="4D59B788" w14:textId="77777777" w:rsidR="00505E0A" w:rsidRDefault="00505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1FB"/>
    <w:multiLevelType w:val="hybridMultilevel"/>
    <w:tmpl w:val="7BD873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C4E"/>
    <w:rsid w:val="00035273"/>
    <w:rsid w:val="0034442E"/>
    <w:rsid w:val="00362061"/>
    <w:rsid w:val="003E5E87"/>
    <w:rsid w:val="004221FB"/>
    <w:rsid w:val="004A74CD"/>
    <w:rsid w:val="00505E0A"/>
    <w:rsid w:val="0070061B"/>
    <w:rsid w:val="007157E2"/>
    <w:rsid w:val="007D0785"/>
    <w:rsid w:val="00A7716D"/>
    <w:rsid w:val="00B51E69"/>
    <w:rsid w:val="00C24B82"/>
    <w:rsid w:val="00D17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49B0"/>
  <w15:chartTrackingRefBased/>
  <w15:docId w15:val="{6C88EBE5-5468-4CEF-A99E-A8DB27D8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7C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4E"/>
    <w:pPr>
      <w:ind w:left="720"/>
      <w:contextualSpacing/>
    </w:pPr>
  </w:style>
  <w:style w:type="paragraph" w:styleId="Header">
    <w:name w:val="header"/>
    <w:basedOn w:val="Normal"/>
    <w:link w:val="HeaderChar"/>
    <w:uiPriority w:val="99"/>
    <w:unhideWhenUsed/>
    <w:rsid w:val="00D17C4E"/>
    <w:pPr>
      <w:tabs>
        <w:tab w:val="center" w:pos="4153"/>
        <w:tab w:val="right" w:pos="8306"/>
      </w:tabs>
    </w:pPr>
  </w:style>
  <w:style w:type="character" w:customStyle="1" w:styleId="HeaderChar">
    <w:name w:val="Header Char"/>
    <w:basedOn w:val="DefaultParagraphFont"/>
    <w:link w:val="Header"/>
    <w:uiPriority w:val="99"/>
    <w:rsid w:val="00D17C4E"/>
    <w:rPr>
      <w:rFonts w:eastAsiaTheme="minorEastAsia"/>
      <w:sz w:val="24"/>
      <w:szCs w:val="24"/>
    </w:rPr>
  </w:style>
  <w:style w:type="paragraph" w:styleId="FootnoteText">
    <w:name w:val="footnote text"/>
    <w:basedOn w:val="Normal"/>
    <w:link w:val="FootnoteTextChar"/>
    <w:uiPriority w:val="99"/>
    <w:semiHidden/>
    <w:unhideWhenUsed/>
    <w:rsid w:val="00D17C4E"/>
    <w:rPr>
      <w:sz w:val="20"/>
      <w:szCs w:val="20"/>
    </w:rPr>
  </w:style>
  <w:style w:type="character" w:customStyle="1" w:styleId="FootnoteTextChar">
    <w:name w:val="Footnote Text Char"/>
    <w:basedOn w:val="DefaultParagraphFont"/>
    <w:link w:val="FootnoteText"/>
    <w:uiPriority w:val="99"/>
    <w:semiHidden/>
    <w:rsid w:val="00D17C4E"/>
    <w:rPr>
      <w:rFonts w:eastAsiaTheme="minorEastAsia"/>
      <w:sz w:val="20"/>
      <w:szCs w:val="20"/>
    </w:rPr>
  </w:style>
  <w:style w:type="character" w:styleId="FootnoteReference">
    <w:name w:val="footnote reference"/>
    <w:basedOn w:val="DefaultParagraphFont"/>
    <w:uiPriority w:val="99"/>
    <w:semiHidden/>
    <w:unhideWhenUsed/>
    <w:rsid w:val="00D17C4E"/>
    <w:rPr>
      <w:vertAlign w:val="superscript"/>
    </w:rPr>
  </w:style>
  <w:style w:type="character" w:styleId="Hyperlink">
    <w:name w:val="Hyperlink"/>
    <w:basedOn w:val="DefaultParagraphFont"/>
    <w:uiPriority w:val="99"/>
    <w:unhideWhenUsed/>
    <w:rsid w:val="00D17C4E"/>
    <w:rPr>
      <w:color w:val="0563C1" w:themeColor="hyperlink"/>
      <w:u w:val="single"/>
    </w:rPr>
  </w:style>
  <w:style w:type="paragraph" w:styleId="Footer">
    <w:name w:val="footer"/>
    <w:basedOn w:val="Normal"/>
    <w:link w:val="FooterChar"/>
    <w:uiPriority w:val="99"/>
    <w:unhideWhenUsed/>
    <w:rsid w:val="00D17C4E"/>
    <w:pPr>
      <w:tabs>
        <w:tab w:val="center" w:pos="4513"/>
        <w:tab w:val="right" w:pos="9026"/>
      </w:tabs>
    </w:pPr>
  </w:style>
  <w:style w:type="character" w:customStyle="1" w:styleId="FooterChar">
    <w:name w:val="Footer Char"/>
    <w:basedOn w:val="DefaultParagraphFont"/>
    <w:link w:val="Footer"/>
    <w:uiPriority w:val="99"/>
    <w:rsid w:val="00D17C4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pkc.gov.lv/lv/valsts-attistibas-planosana/attistibas-planosana-latvi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O.</dc:creator>
  <cp:keywords/>
  <dc:description/>
  <cp:lastModifiedBy>LDDK</cp:lastModifiedBy>
  <cp:revision>3</cp:revision>
  <dcterms:created xsi:type="dcterms:W3CDTF">2021-06-09T11:43:00Z</dcterms:created>
  <dcterms:modified xsi:type="dcterms:W3CDTF">2021-06-09T11:44:00Z</dcterms:modified>
</cp:coreProperties>
</file>