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25-TA-2157: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05.02.2026. 15:13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3. sadaļas 5. punktā detalizētāk skaidrot par plānotā ārvalstu subjektu reģistrācijas risinājuma savietojamību ar valsts līmeņa iniciatīvām vienotas ārvalstu subjektu uzskaites nodrošināšanai, apliecinot, ka netiks radīta dublējoša funkcionalitāte.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3.sadaļas 5.punkts papildināts ar zemsvītras skaidrojumu par ES informācijas sistēmu EORI: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Uzņēmēju reģistrācijas un identifikācijas sistēma </w:t>
            </w:r>
            <w:r w:rsidR="00000000" w:rsidRPr="00000000" w:rsidDel="00000000">
              <w:rPr>
                <w:rtl w:val="0"/>
              </w:rPr>
              <w:t xml:space="preserve">(EORI sistēma) ir Eiropas Savienības muitas informācijas sistēma, kas nodrošina ekonomisko operatoru un citu personu reģistrāciju un unikālu identifikāciju muitas vajadzībām, piešķirot tiem EORI (Economic Operators Registration and Identification)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tiesiskais pamats noteikts Regulā (ES) Nr. 952/2013 (Savienības Muitas kodekss), īpaši 9. pantā, kā arī Komisijas Deleģētā regulā (ES) 2015/2446 un Komisijas Īstenošanas regulā (ES) 2015/2447, kas nosaka detalizētus reģistrācijas, datu apstrādes un izmantošanas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EORI sistēma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ekonomisko operatoru identifikāciju visā Eiropas Savienības muitas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apmaiņu starp dalībvalstu muitas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priekšnosacījumu muitas formalitāšu veikšanai, tostarp deklarāciju iesniegšanai un muitas atļauju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piešķirtais EORI numurs ir derīgs visā Eiropas Savienībā un tā dati tiek nosūtīti un reģistrēti ES centrālajā EORI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EORI sistēma nekādā veidā nedublē valsts līmeņa ārvalstu subjektu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vērš uzmanību, ka anotācijā nav sniegta informācija par EMDAS kopējo uzturēšanas finansējumu (pašreiz esošo), lai varētu izvērtēt papildu nepieciešamā finansējuma apjomu. Tā kā sistēmas tiek pilnveidotas dažādos projektos, ir būtiski nodrošināt kopējo sistēmas uzturēšanas finansējuma apjoma izmaiņu atsekojamību.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papildināta informācija par pašreiz esošo EMDAS uzturēšanas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Iepriekšējos ERAF līdzfinansētajos projektos  “E-muita (1.kārta)” (projekta Nr. 2.2.1.1/17/I/003) un “Eksporta un e-komercijas procesi e-muitā” (projekts Nr. 2.2.1.1/21/I/004) izstrādāto risinājumu uzturēšanai pašlaik tiek izmantots papildu pieprasītais un piešķirtais finansējums, attiecīgi 213 904 </w:t>
            </w:r>
            <w:r w:rsidR="00000000" w:rsidRPr="00000000" w:rsidDel="00000000">
              <w:rPr>
                <w:i w:val="1"/>
                <w:rtl w:val="0"/>
              </w:rPr>
              <w:t xml:space="preserve">euro</w:t>
            </w:r>
            <w:r w:rsidR="00000000" w:rsidRPr="00000000" w:rsidDel="00000000">
              <w:rPr>
                <w:rtl w:val="0"/>
              </w:rPr>
              <w:t xml:space="preserve"> un 310 000 </w:t>
            </w:r>
            <w:r w:rsidR="00000000" w:rsidRPr="00000000" w:rsidDel="00000000">
              <w:rPr>
                <w:i w:val="1"/>
                <w:rtl w:val="0"/>
              </w:rPr>
              <w:t xml:space="preserve">euro</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2.2.5. punktā pārskatīt un precizēt projekta ieguvuma plānoto vērtību (25 – ne-muitas formalitāšu skaits), jo pašreiz formulējums rada maldinošu priekšstatu par administratīvā sloga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2.2.5. punktā precizēts ieguvuma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Nodrošināta ne-muitas formalitāšu elektroniska apstrāde izmantojot EK Vienloga risinājumu, tādejādi mazinot administratīvo slogu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sniegts zemsvītras skaidrojums par ieguvuma plānoto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Vienloga risinājums muitas jomā (EU Single Window for Customs) nodrošina vienotu digitālu vidi, kurā uzņēmēji muitas deklarāciju iesniegšanas brīdī var vienlaikus izpildīt arī citu kompetento valsts iestāžu prasības. Vienloga risinājums nodrošina iespēju automātiski apmainīties ar datiem par atļaujām, licencēm un sertifikātiem, kas nepieciešami muitas formalitāšu veikšanai. Muitas sistēma automātiski pārbauda, vai ir spēkā nepieciešamās atļaujas, sertifikāti vai licences (piem., veterinārie, fitosanitārie, CITES u.c.), samazinot administratīvo slogu uzņēmējiem un manuālo pārbaužu apjomu muitas amatpersonām. Uzņēmējam nav jāiesniedz dokumenti vairākām iestādēm atsevišķi – sistēma pārbauda tos elektroniski, un projekta realizācijas laikā plānots palielināt automātiski pārbaudāmo dokumentu (formalitāšu)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 sadaļas 1.4. apakšpunktā aicinām iekļaut norādi, vai projekta ietvars skar arī datu apmaiņu ar pamata reģistriem un vai tam tiek izmantoti koplietošanas datu apmaiņas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 sadaļas 1.4. apakšpunktā iekļauta zemsvītras norāde: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nav paredzēta datu apmaiņa ar pamata reģistriem, nav paredzēts izmantot arī koplietošanas datu apmaiņas risinājumus. EMDAS datu apmaiņa notiek ar VID iekšējām sistēmām un ES centrālajām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16.01.2026. 16:19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sadaļas 5.1.1. punktā lūdzam pievienot atsauci (**), ka 5.1.1.punktā norādītie lietotāji tiek ieskaitīti 1.3.1.1.pasākuma rezultāta rādītājā “Jaunu un modernizētu publisko digitālo pakalpojumu, produktu un procesu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sadaļas 5.1.1. punktā pievienota atsauce, ka 5.1.1.punktā norādītie lietotāji tiek ieskaitīti 1.3.1.1.pasākuma rezultāta rādītājā “Jaunu un modernizētu publisko digitālo pakalpojumu, produktu un procesu lietotāji”.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5.1.punktā lūdzam pievienot atsauci (*), ka projekta kopējais finansējums tiek ieskaitīts ERAF 1.3.1.1.pasākuma iznākuma rādītāja “saimnieciskās darbības veicējiem izstrādāto digitālo pakalpojumu, produktu un procesu vērtība” vērtībā. Atsauce nepieciešama, ņemot vērā Ministru kabineta 04.06.2024. noteikumu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MK noteikumi Nr.338) anotācijā norādīto, ka minētā rādītāja vērtībā tiks ieskaitīts viss to 1.3.1.1. pasākuma ietvaros īstenoto projektu finansējuma apjoms, kuru ietvaros plānots izstrādāt uz saimnieciskās darbības veicējiem vērstus pakalpojumus, produktus vai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5.1.punktā pievienota atsauce, ka projekta kopējais finansējums tiek ieskaitīts ERAF 1.3.1.1.pasākuma iznākuma rādītāja “saimnieciskās darbības veicējiem izstrādāto digitālo pakalpojumu, produktu un procesu vērtība” vērtībā.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pasi sagatavot atbilstoši jaunajai pases veidnei, kas publicēta VARAM tīmekļvietnē https://www.varam.gov.lv/lv/ikt-risinajumu-un-pakalpojumu-attistiba-un-iespeju-radisana-privatajam-sektoram.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 sagatavota atbilstoši jaunajai pases veidnei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5.4. sadaļā aicinām izvērtēt, vai projekta īstenošanas rezultātā netiek veidotas vai būtiski pilnveidotas datu kopas. Gadījumā, ja sadaļa nav attiecināma, lūdzam tajā iekļaut norādi “N/A”.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sadaļā iekļauta norāde  “N/A”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5.3. sadaļā aicinām atkārtoti izvērtēt, vai projekta ietvaros netiek būtiski uzlaboti koplietošanas pakalpojumi. Gadījumā, ja sadaļa nav attiecināma, lūdzam tajā iekļaut norādi “N/A”.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sadaļā iekļauta norāde  “N/A”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5.2. sadaļā precizēt īstenošanas termiņu, norādot plānoto izpildes gadu un ceturksni.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sadaļā precizēts projekta īstenošanas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 sadaļā aicinām izkļaut projekta īstenošanas termiņa papildu norādi (bet ne ilgāk kā līdz 30.06.2029.), ņemot vērā, ka šāds termiņš ir izpildāms pie nosacījuma, ja līgums tiek noslēgts līdz 2026. gada 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sadaļā izkļauta projekta īstenošanas termiņa papildu norāde (bet ne ilgāk kā līdz 30.06.2029.).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 sadaļas 1.4. apakšpunktā aicinām detalizēti norādīt, ar kādām citām ārējām informācijas sistēmām projekta ietvaros paredzēta integrācija.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sadaļas 1.4. apakšpunktā  norādīts, ar kādām citām ārējām informācijas sistēmām projekta ietvaros paredzēta integrācija.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precizēt kopējo EMDAS uzturēšanas finansējuma apmēru, ņemot vērā, ka tajā norādīts papildu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pārvaldes iestāžu budžeta konsolidāciju, nebūs iespējams nodrošināt izstrādātā risinājuma uzturēšanu, ja netiks piešķirts papildu finansējums. Izstrādāto sistēmu uzturēšanai nepieciešams apmēram 7% no projekta izmaksu apjoma. Gadījumā, ja 2030.gadā būs iespējams atgriezties pie normāla apjoma budžeta, tad 2% būs iespējams nodrošināt no VID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25-TA-2157</w:t>
    </w:r>
    <w:r>
      <w:br/>
    </w:r>
    <w:r w:rsidR="00000000" w:rsidRPr="00000000" w:rsidDel="00000000">
      <w:rPr>
        <w:rtl w:val="0"/>
      </w:rPr>
      <w:t xml:space="preserve">05.03.2026. 16.14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25-TA-2157</w:t>
    </w:r>
    <w:r>
      <w:br/>
    </w:r>
    <w:r w:rsidR="00000000" w:rsidRPr="00000000" w:rsidDel="00000000">
      <w:rPr>
        <w:rtl w:val="0"/>
      </w:rPr>
      <w:t xml:space="preserve">05.03.2026. 16.14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Izziņa_25-TA-2157.docx</dc:title>
</cp:coreProperties>
</file>

<file path=docProps/custom.xml><?xml version="1.0" encoding="utf-8"?>
<Properties xmlns="http://schemas.openxmlformats.org/officeDocument/2006/custom-properties" xmlns:vt="http://schemas.openxmlformats.org/officeDocument/2006/docPropsVTypes"/>
</file>