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24-TA-896: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7. marta noteikumos Nr. 113 "Valsts un Eiropas Savienības atbalsta piešķiršanas, administrēšanas un uzraudzības vispārējā kārtība lauku un zivsaimniecības attīstībai"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(10.03.2023.)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viens vienots uzņēmums ir saimnieciskās darbības veicējs, kas atbilst Eiropas Komisijas 2013. gada 18. decembra Regulas Nr.  </w:t>
            </w:r>
            <w:r w:rsidR="00000000" w:rsidRPr="00000000" w:rsidDel="00000000">
              <w:rPr>
                <w:rtl w:val="0"/>
              </w:rPr>
              <w:t xml:space="preserve">1407/2013</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2. panta 2. punkta skaidrojumam.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regula Nr.1407/2013 ir spēkā līdz 2023.gada 31.decembrim, un saskaņā ar Komisijas regulas Nr.1407/2013 7.panta 4.punktā noteikto tā ir piemērojama līdz 2024.gada 30.jūnijam, lūdzam precizēt noteikumu 2.3.apakšpunktā ietverto viena vienota uzņēmuma definīciju, aizstājot tajā iekļauto atsauci uz Eiropas Komisijas 2013. gada 18. decembra Regulas Nr. 1407/2013 2.panta 2.punktu ar atsauci uz jauno Eiropas Komisijas 2023. gada 13. decembra Regulas Nr. 2023/2831 2.panta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konsolidētā versija 2.3. apakšpunkts, kā arī ietverts šo noteikumu grozījumu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viens vienots uzņēmums ir saimnieciskās darbības veicējs, kas atbilst Eiropas Komisijas 2023. gada 13. decembra Regulas Nr.  2023/2831 par Līguma par Eiropas Savienības darbību 107. un 108. panta piemērošanu de minimis atbalstam 2. panta 2. punkta skaidrojumam.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viens vienots uzņēmums ir saimnieciskās darbības veicējs, kas atbilst Eiropas Komisijas 2023. gada 13. decembra </w:t>
            </w:r>
            <w:r w:rsidR="00000000" w:rsidRPr="00000000" w:rsidDel="00000000">
              <w:rPr>
                <w:rtl w:val="0"/>
              </w:rPr>
              <w:t xml:space="preserve">Regulas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2. panta 2. punkta</w:t>
            </w:r>
            <w:r w:rsidR="00000000" w:rsidRPr="00000000" w:rsidDel="00000000">
              <w:rPr>
                <w:rtl w:val="0"/>
              </w:rPr>
              <w:t xml:space="preserve"> skaidrojumam.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Atbalsta saņēmējs nodrošina </w:t>
            </w:r>
            <w:r w:rsidR="00000000" w:rsidRPr="00000000" w:rsidDel="00000000">
              <w:rPr>
                <w:rtl w:val="0"/>
              </w:rPr>
              <w:t xml:space="preserve">regulas 2021/1060 50. pantā</w:t>
            </w:r>
            <w:r w:rsidR="00000000" w:rsidRPr="00000000" w:rsidDel="00000000">
              <w:rPr>
                <w:rtl w:val="0"/>
              </w:rPr>
              <w:t xml:space="preserve"> un </w:t>
            </w:r>
            <w:r w:rsidR="00000000" w:rsidRPr="00000000" w:rsidDel="00000000">
              <w:rPr>
                <w:rtl w:val="0"/>
              </w:rPr>
              <w:t xml:space="preserve">regulas 2021/1139 60. pantā</w:t>
            </w:r>
            <w:r w:rsidR="00000000" w:rsidRPr="00000000" w:rsidDel="00000000">
              <w:rPr>
                <w:rtl w:val="0"/>
              </w:rPr>
              <w:t xml:space="preserve"> minēto pienākumu izpildi. Atbalsta saņēmējs, kas saņēmis valsts vai Eiropas Savienības atbalstu lauku attīstībai, nodrošina </w:t>
            </w:r>
            <w:r w:rsidR="00000000" w:rsidRPr="00000000" w:rsidDel="00000000">
              <w:rPr>
                <w:rtl w:val="0"/>
              </w:rPr>
              <w:t xml:space="preserve">regulas 2021/2115 123. panta 2. punkta "j" apakšpunktā</w:t>
            </w:r>
            <w:r w:rsidR="00000000" w:rsidRPr="00000000" w:rsidDel="00000000">
              <w:rPr>
                <w:rtl w:val="0"/>
              </w:rPr>
              <w:t xml:space="preserve"> minēto informācijas, publicitātes un atpazīstamības prasību izpildi. Īstenojot informācijas un publicitātes pasākumus, piemēro </w:t>
            </w:r>
            <w:r w:rsidR="00000000" w:rsidRPr="00000000" w:rsidDel="00000000">
              <w:rPr>
                <w:rtl w:val="0"/>
              </w:rPr>
              <w:t xml:space="preserve">Eiropas Savienības fondu 2021.–2027. gada plānošanas perioda un Atveseļošanas fonda komunikācijas un dizaina vadlīnijas</w:t>
            </w:r>
            <w:r w:rsidR="00000000" w:rsidRPr="00000000" w:rsidDel="00000000">
              <w:rPr>
                <w:rtl w:val="0"/>
              </w:rPr>
              <w:t xml:space="preserve">, izmantojot Savienības emblēmu atbilstoši </w:t>
            </w:r>
            <w:r w:rsidR="00000000" w:rsidRPr="00000000" w:rsidDel="00000000">
              <w:rPr>
                <w:rtl w:val="0"/>
              </w:rPr>
              <w:t xml:space="preserve">regulas 2021/1060 9. pielikumā</w:t>
            </w:r>
            <w:r w:rsidR="00000000" w:rsidRPr="00000000" w:rsidDel="00000000">
              <w:rPr>
                <w:rtl w:val="0"/>
              </w:rPr>
              <w:t xml:space="preserve"> noteiktajiem tehniskajiem parametriem, kā arī nacionālo identifikācijas zīmi ar atsauci "Nacionālais attīstības plāns 2027", un norāda fondu administrējošās iestādes – "Atbalsta Zemkopības ministrija un Lauku atbalsta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27. punktā norādīta atsauce uz nesaistošiem dokumentiem (vadlīnijām). Ņemot vērā minēto, lūdzam noteikumu projektā svītrot atsauces uz nesaistošiem dokumentiem (vadlīnijām) un minēto informāciju lūdzam norādīt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grozījumu projekts un noteikumu projekta konsolidētās versijas 27. 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Atbalsta saņēmējs nodrošina regulas 2021/1060 50. pantā un regulas 2021/1139 60. pantā minēto pienākumu izpildi. Atbalsta saņēmējs, kas saņēmis valsts vai Eiropas Savienības atbalstu lauku attīstībai, nodrošina regulas 2021/2115 123. panta 2. punkta "j" apakšpunktā un regulas 2022/129 5. un 6. punktā minēto informācijas, publicitātes un atpazīstamības prasību izpildi. Īstenojot informācijas un publicitātes pasākumus, jāievēro Savienības emblēmu izmantošanas nosacījumi atbilstoši regulas 2021/1060 9. pielikumā noteiktajiem tehniskajiem parametriem, kā arī nacionālo identifikācijas zīmi ar atsauci "Nacionālais attīstības plāns 2027", un norāda fondu administrējošās iestādes – "Atbalsta Zemkopības ministrija un Lauku atbalsta dienests". Uz informatīvajiem priekšmetiem nenorāda "Atbalsta Zemkopības ministrija un 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Atbalsta saņēmējs nodrošina </w:t>
            </w:r>
            <w:r w:rsidR="00000000" w:rsidRPr="00000000" w:rsidDel="00000000">
              <w:rPr>
                <w:rtl w:val="0"/>
              </w:rPr>
              <w:t xml:space="preserve">regulas 2021/1060 50. pantā</w:t>
            </w:r>
            <w:r w:rsidR="00000000" w:rsidRPr="00000000" w:rsidDel="00000000">
              <w:rPr>
                <w:rtl w:val="0"/>
              </w:rPr>
              <w:t xml:space="preserve"> un </w:t>
            </w:r>
            <w:r w:rsidR="00000000" w:rsidRPr="00000000" w:rsidDel="00000000">
              <w:rPr>
                <w:rtl w:val="0"/>
              </w:rPr>
              <w:t xml:space="preserve">regulas 2021/1139 60. pantā</w:t>
            </w:r>
            <w:r w:rsidR="00000000" w:rsidRPr="00000000" w:rsidDel="00000000">
              <w:rPr>
                <w:rtl w:val="0"/>
              </w:rPr>
              <w:t xml:space="preserve"> minēto pienākumu izpildi. Atbalsta saņēmējs, kas saņēmis valsts vai Eiropas Savienības atbalstu lauku attīstībai, nodrošina </w:t>
            </w:r>
            <w:r w:rsidR="00000000" w:rsidRPr="00000000" w:rsidDel="00000000">
              <w:rPr>
                <w:rtl w:val="0"/>
              </w:rPr>
              <w:t xml:space="preserve">regulas 2021/2115 123. panta 2. punkta "j" apakšpunktā</w:t>
            </w:r>
            <w:r w:rsidR="00000000" w:rsidRPr="00000000" w:rsidDel="00000000">
              <w:rPr>
                <w:rtl w:val="0"/>
              </w:rPr>
              <w:t xml:space="preserve"> un </w:t>
            </w:r>
            <w:r w:rsidR="00000000" w:rsidRPr="00000000" w:rsidDel="00000000">
              <w:rPr>
                <w:rtl w:val="0"/>
              </w:rPr>
              <w:t xml:space="preserve">regulas 2022/129 5. un 6. punktā</w:t>
            </w:r>
            <w:r w:rsidR="00000000" w:rsidRPr="00000000" w:rsidDel="00000000">
              <w:rPr>
                <w:rtl w:val="0"/>
              </w:rPr>
              <w:t xml:space="preserve"> minēto informācijas, publicitātes un atpazīstamības prasību izpildi. Īstenojot informācijas un publicitātes pasākumus, ievēro Savienības emblēmu izmantošanas nosacījumus atbilstoši </w:t>
            </w:r>
            <w:r w:rsidR="00000000" w:rsidRPr="00000000" w:rsidDel="00000000">
              <w:rPr>
                <w:rtl w:val="0"/>
              </w:rPr>
              <w:t xml:space="preserve">regulas 2021/1060 9. pielikumā</w:t>
            </w:r>
            <w:r w:rsidR="00000000" w:rsidRPr="00000000" w:rsidDel="00000000">
              <w:rPr>
                <w:rtl w:val="0"/>
              </w:rPr>
              <w:t xml:space="preserve"> noteiktajiem tehniskajiem parametriem, kā arī lieto nacionālo identifikācijas zīmi ar atsauci "Nacionālais attīstības plāns 2027" un norāda fondu administrējošās iestādes: "Atbalsta Zemkopības ministrija un Lauku atbalsta dienests." Uz informatīvajiem priekšmetiem nenorāda atsauci "Atbalsta Zemkopības ministrija un Lauku atbalsta dienests".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Projektu noraida, ievērojot arī </w:t>
            </w:r>
            <w:r w:rsidR="00000000" w:rsidRPr="00000000" w:rsidDel="00000000">
              <w:rPr>
                <w:rtl w:val="0"/>
              </w:rPr>
              <w:t xml:space="preserve">3. </w:t>
            </w:r>
            <w:r w:rsidR="00000000" w:rsidRPr="00000000" w:rsidDel="00000000">
              <w:rPr>
                <w:rtl w:val="0"/>
              </w:rPr>
              <w:t xml:space="preserve">pielikumu</w:t>
            </w:r>
            <w:r w:rsidR="00000000" w:rsidRPr="00000000" w:rsidDel="00000000">
              <w:rPr>
                <w:rtl w:val="0"/>
              </w:rPr>
              <w:t xml:space="preserve">, ja pirms projekta iesnieguma iesniegšanas vai tā vērtēšanas laikā atbalsta pretendentam: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nedz noteikumu projekts, nedz arī noteikumu projekta anotācija nesniedz skaidrojumu, kādēļ tieši par noteikumu projekta 17. punktā uzskaitītajiem noziedzīgajiem nodarījumiem tiesību normas subjektiem ir noteikts ierobežojums. Šajā sakarā vēlamies vērst uzmanību, ka ikviens Krimināllikumā paredzētais noziedzīgais nodarījums ir ar lielu sabiedriskās bīstamības pakāpi un tie vienādi skar vai rada potenciālus draudus sabiedrībai vai valsts drošībai kopumā. Proti, visi Krimināllikumā ietvertie nodarījumi ir vienlīdz bīstami, jo tie apdraud pašas svarīgākās sabiedrības intereses. Līdz ar to lūdzam noteikumu projekta anotācijā ietvert skaidrojumu, kādēļ tieši par attiecīgajiem noziedzīgajiem nodarījumiem noteikumu projekta 17. punktā minētajām personām būtu jānoteic ierobežojums.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uz šī noteikuma projekta 3. pielikumu, kurā tiek atrunāti visi šie Krimināllikuma punkti, kā arī citas attiecināmās tiesību aktu normas uz kuru pamata tiek prasīta informācija no “Sodu reģistra”, lai pamatoti varētu izvērtēt un nepieciešamības gadījumā noraidīt atbalsta pretendenta projekta pieteikumu. Protams netiek noliegts, ka varētu attiecināt visu Krimināllikumu uz šo projektu noraidīšanas gadījumiem, bet ņemot vērā citu ministriju pieeju un no citiem fondiem pārņemto praksi, lai nodrošinātu vienotu pieeju atbalsta piešķiršanas nosacījumu piemērošanā, kā arī reālās situācijas, kādas ir bijušas šo procesu administrēšanā, tad 3. pielikumā tika izcelti visbiežāk pielietotie punkti un mēs vēlētos šo sākotnējo kārtību nemainīt un nepalielināt administratīvo slogu šo datu administrējošajām iestādēm. Krimināllikuma, kā arī pārējo tiesību normu piemērošana un projekta noraidīšanas pamatotība tiek balstīta uz šī noteikumu projekta 3. pielikumu un ņemot vērā 61. punktā minēto.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Projektu noraida, ievērojot arī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noteikto, ja pirms projekta iesnieguma iesniegšanas vai tā vērtēšanas laikā atbalsta pretendentam, kas ir fiziska vai juridiska persona privāto tiesību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 pasākumos, kuros jāvērtē pretendenta atbilstība grūtībās nonākuša saimnieciskās darbības veicēja statusam, ir konstatēta kāda no grūtībās nonākuša saimnieciskās darbības veicēja pazīmēm: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- 03.06.2024.)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radītu viennozīmīgu izpratni par izsniedzamo ziņu apjomu no valsts informācijas sistēmas "Sodu reģistrs", papildināt  projekta sākotnējās ietekmes novērtējuma ziņojumu (anotāciju), norādot konkrētus Krimināllikuma pantus sasaistē ar projekta 17. punktā ietvertajā noteikumu 61.5. - 61.7. apakšpunktā minēto.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uz šī noteikuma projekta 3. pielikumu, kurā tiek atrunāti visi šie Krimināllikuma punkti, kā arī citas attiecināmās tiesību aktu normas uz kuru pamata tiek prasīta informācija no “Sodu reģistra”, lai pamatoti varētu izvērtēt un nepieciešamības gadījumā noraidīt atbalsta pretendenta projekta pieteikumu. Protams netiek noliegts, ka varētu attiecināt visu Krimināllikumu uz šo projektu noraidīšanas gadījumiem, bet ņemot vērā citu ministriju pieeju un no citiem fondiem pārņemto praksi, lai nodrošinātu vienotu pieeju atbalsta piešķiršanas nosacījumu piemērošanā, kā arī reālās situācijas, kādas ir bijušas šo procesu administrēšanā, tad 3. pielikumā tika izcelti visbiežāk pielietotie punkti un mēs vēlētos šo sākotnējo kārtību nemainīt un nepalielināt administratīvo slogu šo datu administrējošajām iestādēm. Krimināllikuma, kā arī pārējo tiesību normu piemērošana un projekta noraidīšanas pamatotība tiek balstīta uz šī noteikumu projekta 3. pielikumu un ņemot vērā 61. punktā minēto.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 pasākumos, kuros jāvērtē pretendenta atbilstība grūtībās nonākuša saimnieciskās darbības veicēja statusam, ir konstatēta kāda no grūtībās nonākuša saimnieciskās darbības veicēja pazīmēm, ja specifiskie noteikumi nenosaka citādi: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projektam paredzēto piegāžu, pakalpojumu vai būvdarbu iepirkumā ievēro normatīvo aktu prasības par iepirkuma procedūras piemērošanu un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lai izslēgtu komercdarbības atbalstu konkrētam piegādātājam vai pakalpojuma sniedzējam, publiskai personai, slēdzot iepirkuma līgumus, jārīkojas kā tirgus ekonomikas dalībniecei, proti, darījumam ir jāatbilst tirgus nosacījumiem. Attiecīgi praksē darījums atbilst tirgus nosacījumiem un attiecīgi tiek izslēgta ekonomiskā priekšrocība pakalpojumu sniedzējiem, tādējādi novēršot saņēmējam komercdarbības atbalsta esamību, ja pakalpojumu sniedzēju izraudzīšanās notikusi atklātā, pārredzamā, nediskriminējošā un konkurenci nodrošinošā konkursa procedūrā. Ievērojot minēto lūdzam papildināt noteikumu 7.5. apakšpunktu, piem.,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projektam paredzēto piegāžu, pakalpojumu vai būvdarbu iepirkumu veic atklātā, pārredzamā, nediskriminējošā un konkurenci nodrošinošā procedūrā, ievērojot normatīvos aktus iepirkuma jomā, un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grozījumu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projektam paredzēto piegāžu, pakalpojumu vai būvdarbu iepirkumu veic atklātā, pārredzamā, nediskriminējošā un konkurenci nodrošinošā procedūrā, ievērojot normatīvos aktus iepirkuma jomā, un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projektam paredzēto piegāžu, pakalpojumu vai būvdarbu iepirkumu īsteno atklātā, pārredzamā, nediskriminējošā un konkurenci nodrošinošā procedūrā, ievērojot normatīvos aktus iepirkuma jomā un šādus nosacījumus: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24-TA-896</w:t>
    </w:r>
    <w:r>
      <w:br/>
    </w:r>
    <w:r w:rsidR="00000000" w:rsidRPr="00000000" w:rsidDel="00000000">
      <w:rPr>
        <w:rtl w:val="0"/>
      </w:rPr>
      <w:t xml:space="preserve">09.07.2024. 08.42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24-TA-896</w:t>
    </w:r>
    <w:r>
      <w:br/>
    </w:r>
    <w:r w:rsidR="00000000" w:rsidRPr="00000000" w:rsidDel="00000000">
      <w:rPr>
        <w:rtl w:val="0"/>
      </w:rPr>
      <w:t xml:space="preserve">09.07.2024. 08.42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Izziņa_24-TA-896.docx</dc:title>
</cp:coreProperties>
</file>

<file path=docProps/custom.xml><?xml version="1.0" encoding="utf-8"?>
<Properties xmlns="http://schemas.openxmlformats.org/officeDocument/2006/custom-properties" xmlns:vt="http://schemas.openxmlformats.org/officeDocument/2006/docPropsVTypes"/>
</file>