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25-TA-1583: Noteikumu projekts (Groza manuāli)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2015. gada 2. jūnija noteikumos Nr. 279 "Ceļu satiksmes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05.03.2026. 13:10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tiek paredzētas  atbilstības prasību izmaiņas velosipēdu un elektroskrejriteņu lietotājiem, piemēram, prasības transportlīdzekļus aprīkot ar gaismas lukturiem un atstarotājiem, prasību diennakts tumšajā laikā lietot atstarojošu apģērbu, kā arī prasību velosipēdu un elektroskrejriteņu vadītājiem lietot aizsargķiveri.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prasības var radīt atbilstības izmaksas mērķa grupai, piemēram, izmaksas par gaismas lukturu, atstarotāju, aizsargķiveru vai atstarojoša apģērba iegādi.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izvērtēt noteikumu projektā ietvertās izmaiņas atbilstības prasībām un to ietekmi uz mērķa grupu, attiecīgi aizpildīt anotācijas 2.5. apakšpunktu, sniedzot atbilstības izmaksu novērtējumu.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kancelejas ieskatā ir vērtējami noteikumu projekta 17. un 18.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2021. gada 7. septembra noteikumu Nr. 617 “Tiesību akta projekta sākotnējās ietekmes izvērtēšanas kārtība” (turpmāk - noteikumi Nr. 617) 16. punktu, tiesību akta projektam ir jāvērtē ietekme uz administratīvo slogu un apstiprinoša rezultāta gadījumā jāveic administratīvo izmaksu monetārs novērtējums.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vadlīnijās “Vadlīnijās tiesību akta sākotnējās ietekmes novērtēšanai un novērtējuma ziņojuma sagatavošanai vienotajā TAP portālā” noteikto, ja tiesību akta projekts paredz grozījumus jau esošajā tiesību aktā un šie grozījumi skar tikai daļu no tām informācijas sniegšanas prasībām vai atbilstības izmaksām, ko nosaka spēkā esošais regulējums, tad ar aprēķinu palīdzību jānoskaidro administratīvo izmaksu izmaiņas – starpība starp esošā un plānotā regulējuma administratīvajām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Metodika administratīvo izmaksu monetārā novērtējuma veikšanā pieejama Vadlīnijās tiesību akta sākotnējās ietekmes novērtēšanai un novērtējuma ziņojuma sagatavošanai vienotajā TAP portālā (pieejamas Ministru kabineta tīmkeļvietnē - https://www.mk.gov.lv/lv/media/16905/download?attachment).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Aprēķinu veikšanai lūdzu izmantot paplašināto standarta izmaksu modeli. Metodiskie materiāli aprēķinu veikšanai pieejami šeit: Administratīvā sloga mazināšana | Ministru kabinets (mk.gov.lv).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vienā nodaļā tiek apvienotas jau spēkā esošajos Ceļu satiksmes noteikumos noteiktās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Jaunas prasības attiecībā uz velosipēdu aprīkojumu nav noteiktas, līdz ar to jaunas izmaksas uz konkrēto mērķgrupu nav attiecināmas. Tāpat arī administratīvais slogs mērķgrupām paliek nemainīgs, ņemot vērā, ka tiek mainīta spēkā esošo normu struktūru un apvienotas prasības velosipēdistiem un elektroskrejriteņu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Atsevišķas izmaiņas tiesību normās nav attiecināmas uz administratīvo slogu vai jaunām izmaksām, tās attiecināmas tikai uz ceļu satiksmes drošības uzlabošanu, precizējot pārvietošanās kārtību kopējā infrastruktūrā.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Atbilstības izmaksu novērtējums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 sadaļā ir identificētas sabiedrības grupas, kuras tiesību akta projekts ietekmē, taču ietekmes apraksts par šīm mērķa grupām nav sniegts. Anotācijas 2.1. apakšpunktā pie katras identificētās mērķa grupas ir norādāms īss un skaidrs apraksts par to, kā tiesību akta projekts šo grupu ietekmēs, proti, kādi pienākumi, tiesības vai nosacījumi mērķa grupai mainīsies pēc projekta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anotācijas 2.1. apakšpunktu ar ietekmes aprakstu attiecībā uz katru identificēto mērķa grupu.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2.1. apakšpunkts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7. sadaļu, norādot institūcijas, kas nodrošinās tiesību akta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anotācijas 7.sadaļa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25.02.2026. 14:17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projektā iekļaut 2026. gada 12. janvārī saskaņošanā nodoto Satiksmes ministrijas redakciju attiecībā uz lauksaimniecības mašīntraktora maksimālā braukšanas ātruma noteikšanu, kuru Zemkopības ministrija ir atbalstījusi. Minētā prasība izriet no 2025. gada 22. novembra likuma “Grozījumi Ceļu satiksmes likumā” (Nr. 831/Lp14) un ir būtisks priekšnoteikums ceļu satiksmes drošības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Papildināt noteikumus ar 103.9. apakšpunktu šādā redakcijā: "103.9. lauksaimniecības mašīntraktoriem – 60 km/h.". 2. Papildināt Noteikumu 28. nodaļu “Noslēguma jautājumi” ar 301.punktu šāda redakcijā: "301. Šo noteikumu 103.9. apakšpunkts stājas spēkā 2026. gada 1. jūlijā.".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Noteikumu 98.punkta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(TB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Tiesībsarga birojs sniedz viedokli par tiesību aktu projektu “Grozījumi Ministru kabineta 2015. gada 2. jūnija noteikumos Nr. 279 “Ceļu satiksmes noteikumi”” (25-TA-1583) (turpmāk – Grozījumi), ņemot vērā, ka to 12. punkts, par grozījumu izdarīšanu Ceļu satiksmes noteikumu (turpmāk – CSN) 98. punktā, saistīts ar rekomendācijas izpildi tiesībsarga pārbaudes lietā Nr. 2024-65-24D.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Augstāk minētā pārbaudes lieta tika pabeigta ar tiesībsarga atzinumu, kurā, cita starpā, tika vērtēts CSN 98. punkta regulējums no iespējamas personu ar invaliditāti diskriminācijas perspektīvas. Pārbaudes lietā tika sniegta rekomendācija – grozīt CSN 98. punktu, novēršot tā radīto diskrimināciju invaliditātes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Paskaidroju, ka secinājums par diskrimināciju pārbaudes lietā tika izdarīts tikai attiecībā uz noteiktu personu ar invaliditāti daļu, nevis visām personām ar invaliditāti, neatkarīgi no tās rakstura. Pārbaudes lietā tika secināts, ka CSN 98. punktā noteiktais ierobežojums ir nesamērīgs tikai attiecībā uz personām ar invaliditāti, kam ir piešķirta invaliditātes stāvvietu izmantošanas karte un kas dzīvo konkrētajā teritorijā. Atbilstoši CSN 246. punktam, personu ar invaliditāti stāvvietu izmantošanas karti ir tiesības saņemt tikai noteiktai daļai personu ar invaliditāti - kam pēc tās ir objektīva nepieciešamība. Attiecībā uz šīm personām tika sniegta rekomendācija veikt grozījumus normatīvajos aktos. Tomēr Grozījumos, kā noprotams, izņēmumos plānots iekļaut krietni plašāku personu loku – principā jebkuru personu ar invaliditāti vai tās pavadoni, kam piešķirta pašvaldības atļauja.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Vēršu uzmanību, ka šāds risinājums būtiski ietekmētu CSN 98. punkta regulējuma mērķi (gājēju un velosipēdistu drošība) un tas nebūtu atbilstošs tiesībsarga atzinuma rekomendācijai pēc būtības. Paskaidrojams, ka rekomendācijas izpildei ir svarīgs pats atzinuma saturs un tiesībsarga secinājumi, jo īpaši apsvērumi, kas minēti atzinuma 13. lapā. Ievērojot minēto, lūdzu Grozījumu 12. punktu precizēt atbilstoši pārbaudes lietā rekomendētajam pēc būtības.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98.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vadītājiem vai pasažieriem ir izsniegta invalīdu stāvvietu izmantošanas karte un kuriem ir speciāla pašvaldības izsniegta atļauja, kā arī specializētos tūristu transportlīdzekļus (izņemot pa ietvēm).”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264.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312. un 313. zīmes darbība neattiecas uz šādiem transportlīdzekļiem, kuriem ir izsniegta valsts sabiedrības ar ierobežotu atbildību "Latvijas Valsts ceļi" atļauja, šo noteikumu 264.punktā minēto atļauju saņēmējiem ir pienākums ievērot šo noteikumu 264.1 punktā minēto ierobežojumu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264.1. transportlīdzekļiem, kuri paredzēti sadzīves atkritumu izvešanai;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264.2. dzīvnieku izcelsmes blakusproduktu un atvasinātu produktu, kas nav paredzēti cilvēka patēriņam, pārvadāšanai paredzētiem transportlīdzekļiem, kas pieder komersantiem, kuri normatīvajos aktos noteiktā kārtībā atzīti un reģistrēti Pārtikas un veterinārajā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264.3. transportlīdzekļiem, kas kravas transporta cisternās pārvadā svaigpienu, ja par šiem transportlīdzekļiem valsts akciju sabiedrības “Ceļu satiksmes drošības direkcija” transportlīdzekļu un to vadītāju valsts reģistrā ir izdarīta atzīme “Svaigpiena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komunālo pakalpojumu sniedzēju un energoapgādes komersantu transportlīdzekļiem, kuri piedalās avārijas seku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264.5. ceļu uzturēšanas transportlīdzekļiem, kas veic neatliekamus ceļu uzturēšanas darbus vai piedalās avārijas seku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(IEM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Kopumā izvērtēt un precizēt projekta 19. un 20.punktu (Noteikumu 264. un 264.1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projekta 19.punktā nav saprotama palīgteikuma "šo noteikumu 264.punktā minēto atļauju saņēmējiem ir pienākums ievērot šo noteikumu 264.1 punktā minēto ierobežojumu atcelšanu" būtība, proti, kādas (papildus) prasības ir jāievēro subjektiem, kuriem izsniegtas speciālas atļaujas, kas ļauj atkāpties no ceļa zīmju 312. un 313. prasībām, turklāt, ja ierobežojumi īslaicīgi atcelti vispār;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saskaņā ar Ministru kabineta 2016.gada 19.janvāra noteikumiem Nr. 42 "Kārtība, kādā aizliedzama vai ierobežojama satiksme" satiksmi uz ceļiem var aizliegt vai ierobežot,  lai novērstu ceļu bojājumus, kas radušies vai varētu rasties klimatisko apstākļu dēļ un, lai novērstu satiksmes negadījuma risku ceļa bojājumu dēļ, pieņemot attiecīgu lēmumu attiecībā uz valsts autoceļiem – valsts akciju sabiedrība "Latvijas Valsts ceļi", attiecībā uz pašvaldību autoceļiem un ielām – attiecīgā pašvaldība. Minētajām institūcijām šajos gadījumos jānodrošina arī attiecīgi pasākumi, kas noteikti normatīvajos aktos par satiksmes organizācijas tehnisko līdzekļu izvietošanu un satiksmes organizēšanu uz ceļiem. Minēto noteikumu 14.punktā ir paredzēti izņēmumi uz kuriem transportlīdzekļiem neattiecas satiksmes ierobežojumi un aizliegumi. Iekšlietu ministrijas ieskatā nav vēlams veidot sadrumstalotu regulējumu, vienlaikus saglabājot izņēmumus minētajos noteikumos un paredzot jaunus izņēmumus Ceļu satiksmes noteikumos.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attiecībā uz projekta 20.punktu norādām, ka Iekšlietu ministrijas ieskatā situācija, ka publiski (ceļa pārvaldītāja tīmekļvietnē) pieejamā informācija, kas atceļ satiksmes ierobežojumus, ir pretrunā ar uz ceļa uzstādītajām Aizlieguma ceļa zīmēm, kas paredz satiksmes ierobežojumus, nav atbalstāma ne no satiksmes drošības viedokļa, ne ceļu aizsardzības viedokļa, ne no satiksmes kontroles viedokļa.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Satiksmes ministrijas ieskatā mainīgu klimatisko apstākļu dēļ iespējams 312. un 313. zīmē paredzētos satiksmes ierobežojumus nepiemērot pastāvīgi, tas risināms uzstādot/demontējot attiecīgās ceļa zīmes vai uzstādot attiecīgas papildzīmes, kā arī papildus publiski informējot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 un 264.</w:t>
            </w:r>
            <w:r w:rsidR="00000000" w:rsidRPr="00000000" w:rsidDel="00000000">
              <w:rPr>
                <w:vertAlign w:val="superscript"/>
                <w:rtl w:val="0"/>
              </w:rPr>
              <w:t xml:space="preserve">1</w:t>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Papildināt ar 264.</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r w:rsidR="00000000" w:rsidRPr="00000000" w:rsidDel="00000000">
              <w:rPr>
                <w:vertAlign w:val="superscript"/>
                <w:rtl w:val="0"/>
              </w:rPr>
              <w:t xml:space="preserve">1</w:t>
            </w:r>
            <w:r w:rsidR="00000000" w:rsidRPr="00000000" w:rsidDel="00000000">
              <w:rPr>
                <w:rtl w:val="0"/>
              </w:rPr>
              <w:t xml:space="preserve"> Ierobežojumus, kas noteikti klimatisko apstākļu dēļ un apzīmēti ar 312. un 313. zīme Ceļa pārvaldītājs var savā publiskā tīmekļvietnē īslaicīgi atcelt klimatisko apstākļu dēļ (piemēram laikā, kad seguma virskārta sasalst)  Minētā tīmekļvietne tiek aktualizēta katru dienu līdz plkst. 17.00.”.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w:t>
            </w:r>
            <w:r w:rsidR="00000000" w:rsidRPr="00000000" w:rsidDel="00000000">
              <w:rPr>
                <w:u w:val="single"/>
                <w:rtl w:val="0"/>
              </w:rPr>
              <w:t xml:space="preserve">kārtību, kādā aizliedz vai ierobežo satiksmi uz valsts autoceļiem un pašvaldību autoceļiem un ielām, noteic Ministru kabineta 2016. gada 19. janvāra noteikumi Nr. 42 "Kārtība, kādā aizliedzama vai ierobežojama satiksme"</w:t>
            </w:r>
            <w:r w:rsidR="00000000" w:rsidRPr="00000000" w:rsidDel="00000000">
              <w:rPr>
                <w:rtl w:val="0"/>
              </w:rPr>
              <w:t xml:space="preserve"> (turpmāk – noteikumi Nr. 42). Turklāt noteikumu Nr. 42 12. punkts noteic kārtību, kādā publicē informāciju par satiksmes aizliegumu vai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arī kārtība, kādā ceļa pārvaldītājs var atcelt atbilstoši noteikumiem Nr. 42 noteiktos ierobežojumus, būtu jānosaka noteikumos Nr.42.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Ministru kabineta noteikumu projektā "Grozījumi Ministru kabineta 2015. gada 2. jūnija noteikumos Nr. 279 "Ceļu satiksmes noteikumi"" (turpmāk – projekts) paredzētajā Ministru kabineta 2015. gada 2. jūnija noteikumu Nr. 279 "Ceļu satiksmes noteikumi" (turpmāk – noteikumi) 264.</w:t>
            </w:r>
            <w:r w:rsidR="00000000" w:rsidRPr="00000000" w:rsidDel="00000000">
              <w:rPr>
                <w:vertAlign w:val="superscript"/>
                <w:rtl w:val="0"/>
              </w:rPr>
              <w:t xml:space="preserve">1</w:t>
            </w:r>
            <w:r w:rsidR="00000000" w:rsidRPr="00000000" w:rsidDel="00000000">
              <w:rPr>
                <w:rtl w:val="0"/>
              </w:rPr>
              <w:t xml:space="preserve"> punktā ietverto regulējumu un attiecīgi precizēt projektu un projekta sākotnējās ietekmes </w:t>
            </w:r>
            <w:r w:rsidR="00000000" w:rsidRPr="00000000" w:rsidDel="00000000">
              <w:rPr>
                <w:i w:val="1"/>
                <w:rtl w:val="0"/>
              </w:rPr>
              <w:t xml:space="preserve">(ex-ante)</w:t>
            </w:r>
            <w:r w:rsidR="00000000" w:rsidRPr="00000000" w:rsidDel="00000000">
              <w:rPr>
                <w:rtl w:val="0"/>
              </w:rPr>
              <w:t xml:space="preserve"> novērtējuma ziņojuma (anotācijas)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w:t>
            </w:r>
            <w:r w:rsidR="00000000" w:rsidRPr="00000000" w:rsidDel="00000000">
              <w:rPr>
                <w:vertAlign w:val="superscript"/>
                <w:rtl w:val="0"/>
              </w:rPr>
              <w:t xml:space="preserve">1</w:t>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(ZM - 02.03.2026.)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papildināt anotāciju ar problēmas un risinājuma aprakstu saistībā ar grozījumiem par lauksaimniecības mašīntraktora maksimālo braukšanas ātruma noteikšanu.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22. novembrī tika pieņemts likums “Grozījumi Ceļu satiksmes likumā” (Nr. 831/Lp14), ar kuru Ceļu satiksmes likuma 1. pants tiek papildināts ar jaunu 21.¹ punktu, ieviešot terminu “lauksaimniecības mašīntraktors”. Minētie grozījumi stāsies spēkā 2026. gada 1. jūlijā, un līdz šo grozījumu spēkā stāšanās dienai Ministru kabinetam ir jāizdod noteikumi, kas nodrošina attiecīgo normu praktisku piemērošanu attiecībā uz lauksaimniecības mašīntraktoriem.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Definīcijā ir ietvertas būtiskas tehniskās prasības, tostarp noteikums, ka lauksaimniecības mašīntraktora tehniski iespējamais maksimālais ātrums nedrīkst pārsniegt 60 km/h. Ja transportlīdzekļa konstrukcija ļauj pārsniegt šo ātrumu, tas ir jāaprīko ar ātruma ierobežošanas ierīci.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spēkā esošā Ceļu satiksmes noteikumu redakcija nenosaka konkrētu maksimālo braukšanas ātrumu traktortehnikai ārpus apdzīvotām vietām. Tā rezultātā traktortehnika nav pakļauta skaidri noteiktam ātruma ierobežojumam un uz to attiecas vien vispārīgie noteikumi par transportlīdzekļu braukšanas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Lauksaimniecības mašīntraktors tiks klasificēts kā traktortehnika, uz kuru attiecas traktortehnikas tiesiskais regulējums, kā arī atsevišķas prasības, kas izriet no autopārvadājumu regulējuma gadījumos, kad tas tiek izmantots kravu pārvadāšanai.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lauksaimniecības mašīntraktors tiek konstruēts uz automobiļa bāzes, bet aprīkots ar lauksaimniecības riepām un paredzēts ekspluatācijai līdzīgi kā traktortehnika, pastāv risks par neatbilstošu tā izmantošanu ceļu satiksmē, kas var negatīvi ietekmēt satiksmes drošību un radīt neskaidrības par piemērojamajām ekspluatācijas prasībām. Papildus jāņem vērā, ka lauksaimniecības riepu konstrukcija un to ražotāju noteiktie ātruma indeksi paredz drošu ekspluatāciju ierobežotā ātruma diapazonā, ja netiek noteikts skaidrs maksimālā braukšanas ātruma ierobežojums, var rasties situācijas, kurās transportlīdzeklis tiek ekspluatēts neatbilstoši tā tehniskajām iespējām un drošības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minētos grozījumus Ceļu satiksmes likumā ir nepieciešams precizēt Ceļu satiksmes noteikumus nosakot lauksaimniecības mašīntraktora maksimālo braukšanas ātrumu, tādējādi nodrošinot atbilstību tā konstrukcijai, izmantošanas mērķim un satiksmes drošības principiem, nodrošinot tiesisko saskaņotību un skaidrību gan transportlīdzekļu īpašniekiem, gan uzraugošajām institūcijām.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noteikts, ka šī norma stājas spēkā vienlaikus ar Ceļu satiksmes likuma grozījumiem, kas attiecas uz lauksaimniecības mašīntraktoru tiesisko regulējumu, proti, no 2026. gada 1. jūlija.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Noteikumu 72.punktu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neattiecas uz pasažieru sabiedriskajiem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precizēt projekta 8.punktā piedāvātos grozījumus Ceļu satiksmes noteikumu 72.punktā, paredzot attiecīgu grozījumu izdarīšanu jau šobrīd spēkā esošajā 72.punkta redakcijā un aizstājot tajā vārdus "tramvaja sliežu klātnes" ar vārdiem "tramvaja sliežu ceļa klātnes" (tādējādi nodrošinot vienveidīgas terminoloģijas lietošanu visā Ceļu satiksmes noteikumu tekstā). Projektam pievienotajā izziņā norādīts, ka Iekšlietu ministrijas iepriekš sniegtais priekšlikums attiecībā uz projekta 8.punktā piedāvāto grozījumu precizēšanu ir ņemts vērā, bet faktiski minētais priekšlikums nav ticis ņemts vērā. Līdz ar to arī projektam pievienotajā izziņā norādītā informācija attiecībā uz šo priekšlikumu nav korekta.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72.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"tramvaja sliežu klātnes" ar vārdiem "tramvaja sliežu ceļa klātnes";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neattiecas uz pasažieru sabiedriskajiem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Velosipēdam abos tā sānos un riteņu abās pusēs, jābūt aprīkotam ar dzelteniem gaismas atstarotājiem, priekšpusē jābūt aprīkotam ar baltu atstarotāju, bet aizmugurē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Iepriekšējā projekta saskaņošanas kārtā Iekšlietu ministrija izteica aicinājumu precizēt projekta 17.punktā (šobrīd projekta 16.punkts) piedāvāto 22.nodaļas regulējumu, pilnībā pārņemot (ietverot) tajā arī šobrīd spēkā esošo Ceļu satiksmes noteikumu 209.punkta regulējumu. Projektam pievienotajā izziņā norādīts, ka minētais priekšlikums nav ņemts vērā. Taču paskaidrojuma tekstā attiecībā minētā priekšlikuma neņemšanu vērā norādīts, ka šobrīd spēkā esošais Ceļu satiksmes noteikumu 209.punkta regulējums jaunajā 22.nodaļas regulējumā ir ticis pārņemts ar projekta 16.punktā ietverto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punkta regulējumu. Iekšlietu ministrija šādam paskaidrojumam pilnībā piekrīt, bet vienlaikus norāda, ka projekta iepriekšējā versijā (sk. 2.0 Redakciju) 212.punkts nemaz nebija ietverts. Tādējādi faktiski konstatējams, ka Iekšlietu ministrijas iepriekš sniegtais priekšlikums ir ticis ņemts vērā. Līdz ar to projektam pievienotajā izziņā attiecībā uz šo priekšlikumu nepieciešams norādīt korektu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22.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w:t>
            </w:r>
            <w:r w:rsidR="00000000" w:rsidRPr="00000000" w:rsidDel="00000000">
              <w:rPr>
                <w:rtl w:val="0"/>
              </w:rPr>
              <w:t xml:space="preserve">209. punktā</w:t>
            </w:r>
            <w:r w:rsidR="00000000" w:rsidRPr="00000000" w:rsidDel="00000000">
              <w:rPr>
                <w:rtl w:val="0"/>
              </w:rPr>
              <w:t xml:space="preserve"> </w:t>
            </w:r>
            <w:r w:rsidR="00000000" w:rsidRPr="00000000" w:rsidDel="00000000">
              <w:rPr>
                <w:rtl w:val="0"/>
              </w:rPr>
              <w:t xml:space="preserve">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Velosipēdam abos tā sānos un riteņu abās pusēs, jābūt aprīkotam ar dzelteniem gaismas atstarotājiem, priekšpusē jābūt aprīkotam ar baltu atstarotāju, bet aizmugurē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w:t>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 ja tiek nodrošināta ceļu satiksmes drošība.”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Izteikt 264.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 312. un 313. zīmes darbība neattiecas uz šādiem transportlīdzekļiem, kuriem ir izsniegta valsts sabiedrības ar ierobežotu atbildību "Latvijas Valsts ceļi" atļauja, šo noteikumu 264.punktā minēto atļauju saņēmējiem ir pienākums ievērot šo noteikumu 264.1 punktā minēto ierobežojumu atcelšanu: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264.1. transportlīdzekļiem, kuri paredzēti sadzīves atkritumu izvešanai;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264.2. dzīvnieku izcelsmes blakusproduktu un atvasinātu produktu, kas nav paredzēti cilvēka patēriņam, pārvadāšanai paredzētiem transportlīdzekļiem, kas pieder komersantiem, kuri normatīvajos aktos noteiktā kārtībā atzīti un reģistrēti Pārtikas un veterinārajā dienestā;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264.3. transportlīdzekļiem, kas kravas transporta cisternās pārvadā svaigpienu, ja par šiem transportlīdzekļiem valsts akciju sabiedrības “Ceļu satiksmes drošības direkcija” transportlīdzekļu un to vadītāju valsts reģistrā ir izdarīta atzīme “Svaigpiena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264.4. komunālo pakalpojumu sniedzēju un energoapgādes komersantu transportlīdzekļiem, kuri piedalās avārijas seku novēršanā;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264.5. ceļu uzturēšanas transportlīdzekļiem, kas veic neatliekamus ceļu uzturēšanas darbus vai piedalās avārijas seku novēršanā.”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- 03.03.2026.)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atbilstoši Ministru kabineta 2009. gada 3. februāra noteikumu Nr. 108 "Normatīvo aktu projektu sagatavošanas noteikumi" 3.1. apakšpunktā noteiktajam </w:t>
            </w:r>
            <w:r w:rsidR="00000000" w:rsidRPr="00000000" w:rsidDel="00000000">
              <w:rPr>
                <w:u w:val="single"/>
                <w:rtl w:val="0"/>
              </w:rPr>
              <w:t xml:space="preserve">normatīvā akta projektā neietver normas, kas ir deklaratīvas</w:t>
            </w:r>
            <w:r w:rsidR="00000000" w:rsidRPr="00000000" w:rsidDel="00000000">
              <w:rPr>
                <w:rtl w:val="0"/>
              </w:rPr>
              <w:t xml:space="preserve">, lūdzam svītrot projektā paredzētajā noteikumu 364. punkta ievaddaļā vārdus un skaitļus "šo noteikumu 264. punktā minēto atļauju saņēmējiem ir pienākums ievērot šo noteikumu 264.1 punktā minēto ierobežojumu atcelšanu".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264.</w:t>
            </w:r>
            <w:r w:rsidR="00000000" w:rsidRPr="00000000" w:rsidDel="00000000">
              <w:rPr>
                <w:vertAlign w:val="superscript"/>
                <w:rtl w:val="0"/>
              </w:rPr>
              <w:t xml:space="preserve">1</w:t>
            </w:r>
            <w:r w:rsidR="00000000" w:rsidRPr="00000000" w:rsidDel="00000000">
              <w:rPr>
                <w:rtl w:val="0"/>
              </w:rPr>
              <w:t xml:space="preserve">punkts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- 04.03.2026.)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anotācijā mērķa aprakstu, jo ne no projekta anotācijas risinājuma apraksta, ne no projektā ietverto normu redakcijas neizriet, ka tiek atcelts pienākums VSIA "Latvijas valsts ceļi" izsniegt atļaujas pārvadājumiem ceļa zīmes 312. un 313.darbības zonā.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precizēta.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12.01.2026. 09:57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Atzinums par Satiksmes ministrijas precizēto normatīvā akta projektu “Grozījumi Ministru kabineta 2015. gada 2. jūnija noteikumos Nr. 279 "Ceļu satiksmes noteikumi"” (25-TA-1583)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1.punktu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par Projekta 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SM piedāvā ieviest attiecībā uz vairākiem ar elektrisko piedziņu darbināmiem sporta vai atpūtas pārvietošanās rīkiem, nosacījumu, ka ir jābūt apdrošinātai personas civiltiesiskai atbildībai pret zaudējumiem, kas nodarīti trešajām personām. LDDK atbalsta nepieciešamību ieviest civiltiesiskās atbildības apdrošināšanu, jo tā palīdz ne tikai cietušajai pusei savlaikus saņemt nepieciešamos resursus, bet arī personai, kuras darbības rezultātā trešajai personai radušies zaudējumi, nenonākt maksātnespējas situācijā. Vienlaikus LDDK ieskatā to var nodrošināt ar divām alternatīvām - gan apdrošinot personas (konkrētā lietotāja) civiltiesisko atbildību, gan apdrošinot konkrētā pārvietošanās inventāra īpašnieka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SM viedokli, ka Apdrošināšanas pienākumam jābūt saistītam ar faktisko lietošanu, nevis īpašumtiesībām, LDDK sniedz šādu viedokli: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Apdrošināšanai iespējamu zaudējumu seku kompensēšanu trešajām personām ceļu satiksmē, tiek izmantotas divas pamatmetodes: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transportlīdzekļa īpašumtiesībām balstīta (vehicle/owner-based) civiltiesiskās atbildības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Vadītāja, kā paaugstinātas bīstamības avota lietotāja (“driver-based”) civiltiesiskās atbildības apdrošināšana.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ceļu satiksmē absolūtā vairumā gadījumu tiek pielietota uz transportlīdzekļa  īpašumtiesībām balstīta civiltiesiskās atbildības apdrošināšana, kas ir spēkā arī tad, ja transportlīdzekli lieto citas personas. Savukārt vadītāja, kā paaugstinātas bīstamības avota lietotāja (“driver-based”) civiltiesiskās atbildības apdrošināšana nav obligāta, bet var būt kā brīvprātīga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ceļu satiksmē izmantotiem pārvietošanās līdzekļiem (tostarp sporta vai atpūtas inventāra) ar elektrisko piedziņu, civiltiesiskās atbildības apdrošināšanas nepieciešamību nevajadzētu balstīt riteņu skaitā un to izvietojumā, bet elektriskās piedziņas jaudā, nosakot robežšķirtni atbilstīgi ES regulā 168/2013 robežšķirtnei 250W.</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Jāņem vērā arī fakts, ka arī īstermiņa nomas attiecībās balstītiem pakalpojumiem tiek izmantoti pārvietošanās līdzekļi ar elektrisko piedziņu un šiem pakalpojumiem vienīgā iespējamā uz vadītāja civiltiesiskās atbildības apdrošināšana ir uz transportlīdzekļa īpašumtiesībām balstītā.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Tam, ka OCTA regulē transportlīdzekļus, kas ir reģistrēti un piedalās satiksmē kā mehāniskie transportlīdzekļi, nav un nevar būt šķērslis ceļu satiksmē izmantota ar elektrisko piedziņu darbināma sporta un atpūtas inventāra civiltiesiskās atbildības apdrošināšanas ieviešanai. Arī tas apstāklis, ka šobrīd Ceļu satiksmes likuma izpratnē šie pārvietošanās līdzekļi nav jāreģistrē, nevar būt šķērslis īpašumtiesībām balstītas civiltiesiskās atbildības apdrošināšanas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Projekta 1.punktam: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punktā arī alternatīvu - uz īpašumtiesībām balstītu konkrētā pārvietošanās inventāra īpašnieka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 elektriskās piedziņas jaudu, no kuras ir spēkā prasība apdrošināt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uztur iebildumu pret Projekta [18.] punktu, ar ko SM piedāvāja ierobežot elektroskrejriteņu braukšanas ātrumu līdz 15 km/h, braucot pa ietvi vai kopīgo gājēju un velosipēdu ceļa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piedāvā noteikt, ka, braucot pa ietvi vai kopīgo gājēju un velosipēdu ceļu, elektroskrejriteņu braukšanas ātrums nedrīkst pārsniegt 15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Vietās, kur ietve vai kopīgais gājēju un velosipēdu ceļš, kā arī tam piegulošā daļa ir labi pārskatāma un konkrētajā laikā uz tā nav gājēju, šāds ierobežojums nav pamatots.  Vadītājiem jāizvēlas tāds braukšanas ātrums, kas atbilst konkrētajiem apstākļiem, lai netiktu apdraudēti vai traucēti gājēji un, ja nepieciešams, jābrauc ar ātrumu, kas nepārsniedz gājēju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LDDK izteiktajiem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CSN 29.punktu LDDK vērš uzmanību uz to, ka CSN 29.punkta ievaddaļa šobrīd attiecas arī uz operatīvo transport­līdzekli pēc statusa.  Savukārt tas, kas attiecas uz operatīvo transport­līdzekli ar ieslēgtiem speciālajiem gaismas un  skaņas signāliem regulē CSN 26., 27., 28. 30. u.c.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Jautājumi par ceļa zīmes "Apdzīvotas vietas sākums" padarīšanu labāk pamanāmu, par jaunu ceļa zīmi, kas norāda, ka pretī atrodas pretēja virziena vienvirziena ceļš (tas kļuva īpaši aktuāli pēc 2024.gadā veiktās Noteikumu 210.punkta papildināšanas ar 7.apakšpunktu, un grozījumiem 212.7 punktā), par vārda “Izņemot” aizstāšanu ar piktogrammu papildzīmēs, kurās kopā ar kādu simbolu izmanto šo vārdu, LDDK ieskatā ir aktuāli, un tas, ka esošais zīmes paraugs ir apstiprināts ar standartu LVS 77–1:2016 nenozīmē, ka to nevar mainīt. Ceļu satiksmes zīmju dizaina veidošanā prioritārai vajadzētu būt satiksmes drošībai, kam arī ir jāpakārto standarts un nevis otrādi. Par to, ka ar CSN grozījumiem var mainīt esošo zīmju dizainu, kā arī ieviest jaunas zīmes, liecina šo grozījumu papildu dokumenti “Attēls projekta 24. punktam” un “Attēls projekta 28. 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99. punkta struktūru – tas, ka vispirms ir noteikts vispārējais ātruma ierobežojums – tiesiska robeža, kuru nedrīkst pārsniegt, lielā daļā transportlīdzekļu vadītāju ir radījusi pārliecību, ka šī tiesiska robeža, piemēram, apdzīvotā vietā 50km/h un ārpus tām – 90km/h, ir pamatnorma, kas ir prioritāra pār tādiem faktoriem, kā ceļu satiksmes intensitāte, transportlīdzekļa un kravas īpatnības un stāvoklis, kā arī ceļa un meteoroloģiskie apstākļi (īpaši redzamība braukšanas virzienā). Par to liecina gan autovadītāju atziņas pēc CSNg, ka “es nepārsniedzu 90km/h (vai attiecīgi 50km/h), kas tiek uzskatīta gandrīz kā indulgence, gan diskusijas plašsaziņas līdzekļos par t.s. “lēnajiem braucējiem”, kuri nebrauc ar maksimālo atļauto ātrumu, gan tiesu prakse (skat., piemēram, aizstāvības puses argumentus Kriminālprocesā Nr. 11520097018 u.c.). Piemēram, Augstākās tiesas Senāts savās atziņās lietās par ceļu satiksmes noteikumu un transportlīdzekļu ekspluatācijas noteikumu pārkāpšanu (2020. gads līdz 2025. gada jūlijs)[1] attiecībā uz CSN 99.punktu īpaši uzsver, ka transportlīdzekļa vadītājam ir jābrauc ar ātrumu, kas atbilst ceļa intensitātei, transportlīdzekļa un kravas īpatnībām un stāvoklim, kā arī ceļa un meteoroloģiskajiem apstākļiem. Vienlaikus transportlīdzekļa vadītājam ir jāievēro noteiktais ātruma ierobežojums, un to nedrīkst pārsniegt arī tajā gadījumā, ja Ceļu satiksmes noteikumu 99. pantā norādītie apstākļi transportlīdzekļa vadītājam ir maksimāli labvēlīgi.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Krustojumos, kur no transportlīdzekļa vadītāja pozīcijas galvenā ceļa virziens mainās pa labi, (847.)  papildzīme "Galvenā ceļa virziens" pietiekami skaidri un nepārprotami nepārprotami norāda galvenā ceļa virzienu krustojumā.  Savukārt  201. ceļa zīme rada vadītājam priekšstatu, ka viņam ir priekšrocība. Tomēr krustojumos, kur no transportlīdzekļa vadītāja pozīcijas galvenā ceļa virziens mainās pa labi, ir viena īpatnība – pa galveno ceļu braucošam vadītājam nav priekšrocība pret transportlīdzekļiem, kas tuvojas no labās puses. Tātad – it kā ir priekšrocība, tomēr jādod ceļš transportlīdzeklim, kas tuvojas no labās puses. Ja abas zīmes (201. un 847.)  ir labi saskatāmas, tad šo zīmju kombinēšana nerada papildus riskus. Tomēr gadījumos, kad 847. zīme nav redzama (piemēram, tā ir aizsnigusi (847.zīmes forma pati par sevi nesniedz informāciju, uz kuru pusi mainās galvenā ceļa virziens) vai tai priekšā koka zars, vai tā ir sagriezusies par 90 grādiem, vai norauta u.c.), tad 201.zīme paliek bez informācijas, ka ir jādod ceļš transportlīdzeklim, kas tuvojas no labās puses, kas  iepriekš minētajos apstākļos var radīt ļoti nevēlamas sekas. Savukārt 201.zīmes neesamība nerada neskaidrības, ne riskus.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Veidojot un izvietojot ceļu zīmes, it īpaši tās, kas attiecas uz prioritāti, ir jārēķinās gan ar iespējamām uzturēšanas, gan redzamības problēmām. Ne par velti kādreiz brīdinājuma zīmju grupā ietvertā zīme “Dod ceļu” tika dizainēta ar pretēji vērstu virsotni, savukārt kādreiz aizlieguma zīmju grupā ietvertā zīme “Stop” atšķirībā no pārējām aizlieguma zīmēm tika veidota astoņstūra formā. Tas bija ar mērķi maksimāli mazināt pārpratuma riskus, kādi var rasties sliktos redzamības vai uzturēšanas apstākļos.  Ja tomēr ir vēlme vadītājam kaut kā vēl skaidrāk pateikt, ka viņš atrodas uz galvenā ceļa, bet vienlaikus viņam ir jādod ceļš transportlīdzeklim, kas tuvojas no labās puses, tad ir divas metodes – vai nu 847.zīmē pretī transportlīdzekļa atrašanās virzienam ielikt mazu dzeltenu rombiņu, vai veidot jaunu ceļa zīmi, kā pusi 201.zīmes romba ar 90 grādu virsotni vērstu pa labi.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s://www.google.com/search?q=Apkopojums+KL+260.+pants+atzi%C5%86as&amp;sca_esv=591e355fa119345a&amp;rlz=1C1GCEA_enLV1118LV1121&amp;ei=N4hraemME9LOwPAPsvqjwQQ&amp;ved=0ahUKEwiphPj50JKSAxVSJxAIHTL9KEgQ4dUDCBE&amp;uact=5&amp;oq=Apkopojums+KL+260.+pants+atzi%C5%86as&amp;gs_lp=Egxnd3Mtd2l6LXNlcnAiIUFwa29wb2p1bXMgS0wgMjYwLiBwYW50cyBhdHppxYZhczIFECEYoAFInbMBUNUIWKWvAXABeACQAQCYAWCgAeUOqgECMjS4AQPIAQD4AQGYAhigAp8PwgIKEAAYsAMY1gQYR8ICBRAAGO8FwgIIEAAYgAQYogTCAggQABiiBBiJBcICBBAhGBWYAwCIBgGQBgiSBwQyMy4xoAfcWLIHBDIyLjG4B5YPwgcGMC4xNS45yAdEgAgA&amp;sclient=gws-wiz-se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punkts jau ir precizēts, un SM ir atteikusies no sākotnējās ieceres noteikt apdrošināšanas pienākumu faktiskajam inventāra lietotājam, tādējādi ņemot vērā saskaņošanas procesā paustos apsvērumus un nodrošinot regulējuma skaidrību. Līdz ar to iebildumā ietvertais pamatojums par nepieciešamību paredzēt alternatīvu – uz īpašumtiesībām balstītu apdrošināšanas modeli – pēc būtības zaudē aktualitāti.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jāuzsver, ka sporta un atpūtas inventāra ar elektrisko piedziņu īpašnieka civiltiesiskās atbildības apdrošināšanas modelis nav praktiski īstenojams. Atšķirībā no mehāniskajiem transportlīdzekļiem, uz kuriem attiecas OCTA regulējums, šis inventārs nav reģistrējams, tam nav valsts reģistra, identifikācijas numura vai cita mehānisma, ar kura palīdzību būtu iespējams nepārprotami noteikt īpašnieku un kontrolēt apdrošināšanas pienākuma izpildi. Līdz ar to nepastāv administratīvs instruments, ar kura palīdzību uzraudzīt, vai konkrētajam inventāram ir spēkā īpašnieka civiltiesiskās atbildības apdrošināšana, kā arī noteikt atbildīgo personu īpašumtiesību maiņas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Īpašumtiesībās balstīts modelis šajā gadījumā konceptuāli jauktu to ar OCTA sistēmu, kura ir balstīta uz transportlīdzekļa reģistrāciju, identificējamību un nepārtrauktu saistību ar konkrētu īpašnieku valsts reģistrā. Šādi priekšnosacījumi attiecībā uz sporta un atpūtas inventāru nepastāv, un bez reģistrācijas sistēmas nav iespējams nodrošināt ne pienākuma izpildes kontroli, ne efektīvu piemērošanu praksē. Tas radītu situāciju, kur normatīvais pienākums formāli pastāv, bet nav objektīvi pārbaudāms.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nav pamatots priekšlikums sasaistīt apdrošināšanas pienākumu ar elektriskās piedziņas jaudu, nosakot 250W robežšķirtni. Nereģistrētam inventāram nav iespējams pārbaudāmi fiksēt tehniskos parametrus, tostarp jaudu, un kontrolējošajām iestādēm nav objektīvu un ticamu līdzekļu, lai ceļu satiksmē noteiktu, vai konkrētais inventārs pārsniedz vai nepārsniedz noteikto slieksni. Bez reģistrācijas sistēmas tehniskie parametri nav ticami un publiski pieejami, attiecīgi arī nav administratīvi kontrolējami, līdz ar to šāds kritērijs būtu deklaratīvs un praktiski nepiemērojams.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Aktuālajā Projektā SM ir atteikusies no ieceres ierobežot elektroskrejriteņu braukšanas ātrumu līdz 15 km/h, ņemot vērā, ka šiem transportlīdzekļiem nav iebūvētas mērierīces precīzai ātruma kontrolei un attiecīgi šāda prasība praksē nebūtu objektīvi pārbaudāma. Līdz ar to Projekts jau ir precizēts, izslēdzot normu, kuras izpilde un kontrole nebūtu nodrošināma.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iepriekšējā izziņā skaidrots, ka attiecībā uz CSN 29. punktu jānorāda, ka CSN un operatīvo transportlīdzekļu reģistrācijas regulējumā jau ir skaidri nošķirti divi līmeņi — transportlīdzekļa statuss un tā tiesības satiksmē. Operatīvā transportlīdzekļa statuss pats par sevi nepazūd, taču priekšrocības ceļu satiksmē tiek iegūtas tikai tad, ja vienlaikus ir ieslēgti speciālie gaismas un skaņas signāli, kā to tieši paredz citi CSN punkti (26., 27., 28., 30. u.c.). Līdz ar to 29. punkta ievaddaļa, kas attiecas uz operatīvo transportlīdzekli pēc statusa, nerada normatīvu pretrunu un neprasa papildu precizējumu. Bez ieslēgtām bākugunīm un skaņas signāla operatīvais transportlīdzeklis piedalās satiksmē kā jebkurš cits transportlīdzeklis, neatkarīgi no tā statusa, tādēļ papildinājums būtu lieks un neatbilstu normu sistēmiskajai uzbūvei.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ceļa zīmju dizaina maiņu un jaunu zīmju ieviešanu jāuzsver, ka ceļu satiksmes regulējums balstās uz vienotu, standartizētu un starptautiski salāgotu zīmju sistēmu. Standarts LVS 77–1:2016 nav formāls šķērslis izmaiņām, taču zīmju dizaina maiņa vai jaunu zīmju ieviešana nevar tikt balstīta atsevišķos apsvērumos bez visaptveroša izvērtējuma par ietekmi uz kopējo satiksmes organizācijas sistēmu, atbilstību Vīnes konvencijai par ceļu zīmēm un signāliem, kā arī vienveidības principu. Satiksmes drošība tiek nodrošināta tieši ar zīmju sistēmas konsekvenci un atpazīstamību, un biežas vai fragmentāras dizaina izmaiņas var radīt pretēju efektu — samazināt zīmju uztveres ātrumu un radīt neskaidrības. Atsevišķu ilustratīvu attēlu pievienošana grozījumu projektam pati par sevi nenozīmē, ka jebkura dizaina izmaiņa ir pamatota vai nepieciešama.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Noteikumu 99. punkta struktūru jānorāda, ka tajā ietvertā konstrukcija atbilst vispārpieņemtai tiesiskai pieejai — vispirms tiek noteikta maksimālā pieļaujamā robeža, kuru nedrīkst pārsniegt, bet vienlaikus saglabāts pienākums izvēlēties drošu braukšanas ātrumu atbilstoši konkrētajiem apstākļiem. Tas, ka daļa transportlīdzekļu vadītāju maksimāli atļauto ātrumu uztver kā “pamatnormu”, nevis kā augšējo robežu, ir tiesību normu interpretācijas un satiksmes kultūras jautājums, nevis normas struktūras trūkums. Arī Augstākās tiesas Senāta atziņas skaidri apliecina, ka vadītājam ir pienākums pielāgot ātrumu konkrētajiem apstākļiem un vienlaikus nepārsniegt noteikto ierobežojumu. Tādējādi tiesu prakse jau nodrošina pareizu normas izpratni, un nav pamata secināt, ka 99. punkta struktūra būtu juridiski kļūdaina vai drošības ziņā nepietiekama.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201. ceļa zīmes un 847. papildzīmes kombināciju krustojumos, kur galvenā ceļa virziens mainās pa labi, jāuzsver, ka ceļa zīmes piemērojamas kopsakarā ar Ceļu satiksmes noteikumiem, nevis izolēti. 847. papildzīme skaidri norāda galvenā ceļa virzienu, un 201. zīme informē par atrašanos uz galvenā ceļa. Situācija, kurā papildzīme nav redzama tehnisku vai uzturēšanas iemeslu dēļ (aizsnigšana, bojājums u.c.), ir infrastruktūras uzturēšanas jautājums, nevis zīmju sistēmas koncepcijas trūkums. Normatīvo regulējumu nevar balstīt pieņēmumā par zīmju iespējamu bojājumu vai aizsegšanu, jo šādā gadījumā būtu jāmaina būtiska daļa no satiksmes organizācijas principiem. Turklāt arī bez 201. zīmes krustojumā piemērojami vispārējie priekšrocības noteikumi, kas nepieļauj absolūtu “priekšrocības ilūziju”. Priekšrocība galvenajā ceļā nenozīmē atbrīvojumu no pienākuma pārliecināties par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 mainīt 847. zīmes grafisko izpildījumu vai veidot jaunu ceļa zīmi (piemēram, modificētu 201. romba pusi) prasītu pilnīgi jauna vizuālā elementa ieviešanu sistēmā, kas nav paredzēta ne nacionālajos, ne starptautiskajos standartos. Šādas izmaiņas varētu mazināt zīmju universālo atpazīstamību un radīt interpretācijas riskus, īpaši ārvalstu vadītājiem. Ceļa zīmju formu diferenciācija (piemēram, “Stop” astoņstūris vai “Dod ceļu” apgrieztais trijstūris) ir vēsturiski un starptautiski nostiprināti izņēmumi ar īpašu drošības pamatojumu, taču tas nenozīmē, ka katra potenciāli sarežģītā satiksmes situācija būtu risināma ar jaunas formas vai grafiska elementa ieviešanu.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"RIDE" - 25.02.2026.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saskaņā ar Rīgas domes saistošajiem noteikumiem koplietošanas mikromobilitātes rīku maksimālais atļautais braukšanas ātrums vēsturiskajā Rīgas centrā (teritorijā līdz Pērnavas ielai) un uz tiltiem ir ierobežots līdz 20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Minētajās teritorijās jau šobrīd pastāv būtiska atļautā braukšanas ātruma atšķirība starp mehāniskajiem transportlīdzekļiem un pašgājēja velosipēda vadītājiem. Jebkāda turpmāka regulējuma izmaiņa, kas vēl vairāk palielinātu šo ātruma diferenciāciju, objektīvi palielinātu relatīvā ātruma starpību satiksmē, kā rezultātā pieaugtu apdzīšanas manevru skaits, satiksmes plūsmas spriedze un potenciāli bīstamu situāciju risks.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Īpaši jāuzsver, ka gadījumā, ja pašgājēja velosipēda vadītājiem vienlaikus tiktu liegta iespēja noteiktās situācijās pārvietoties pa ietvi (piemēram, ja braukšana pa brauktuvi ir apgrūtināta vai bīstama ceļu satiksmes intensitātes, ceļa infrastruktūras vai meteoroloģisko apstākļu dēļ), tiktu radīts nesamērīgs un papildu drošības risks mazāk aizsargātajiem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drošības pamatprincipi paredz, ka regulējumam jāmazina riski, nevis jāpalielina mazāk aizsargāto satiksmes dalībnieku pakļautība ātrākas un masīvākas transporta plūsmas iedarbībai. Tādēļ jebkādas izmaiņas, kas vienlaikus palielina ātruma atšķirības un ierobežo alternatīvas drošākai pārvietošanās iespējai, būtu vērtējamas no proporcionalitātes, tiesiskās paļāvības un ceļu satiksmes drošības principu viedokļa.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Iesniegts pēc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22.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w:t>
            </w:r>
            <w:r w:rsidR="00000000" w:rsidRPr="00000000" w:rsidDel="00000000">
              <w:rPr>
                <w:rtl w:val="0"/>
              </w:rPr>
              <w:t xml:space="preserve">209. punktā</w:t>
            </w:r>
            <w:r w:rsidR="00000000" w:rsidRPr="00000000" w:rsidDel="00000000">
              <w:rPr>
                <w:rtl w:val="0"/>
              </w:rPr>
              <w:t xml:space="preserve"> </w:t>
            </w:r>
            <w:r w:rsidR="00000000" w:rsidRPr="00000000" w:rsidDel="00000000">
              <w:rPr>
                <w:rtl w:val="0"/>
              </w:rPr>
              <w:t xml:space="preserve">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Velosipēdam abos tā sānos un riteņu abās pusēs, jābūt aprīkotam ar dzelteniem gaismas atstarotājiem, priekšpusē jābūt aprīkotam ar baltu atstarotāju, bet aizmugurē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w:t>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 ja tiek nodrošināta ceļu satiksmes drošība.”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(Sabiedrība ar ierobežotu atbildību "RIDE" - 26.01.2026.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Iesniedzu iebildumu pret priekšlikumu izslēgt pašgājēju velosipēdus no transportlīdzekļu kategorijām, kuriem noteiktos gadījumos ir atļauta pārvietošanās pa ietvi.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Uzskatu, ka šāds ierobežojums nav samērīgs, nav pamatots ar ceļu satiksmes drošības interesēm un var radīt pretēju efektu – paaugstināt risku pašgājēju velosipēdu vadītājiem un citiem satiksmes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Pašgājēja velosipēda tehniskā un funkcionālā līdzība velosipēdam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Pašgājējs velosipēds pēc masas, izmēriem, jaudas un maksimālā ātruma ir salīdzināms ar parastu velosipēdu vai elektroskrejriteni. Tas nav salīdzināms ar mopēdu vai motociklu, līdz ar to tā piespiedu pārvietošana tikai pa brauktuvi neatbilst transportlīdzekļa reālajām tehniskajām īpašībām.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Satiksmes drošības apsvērumi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Daudzviet brauktuves satiksmes intensitāte un transportlīdzekļu ātrumi rada būtisku risku lēngaitas transportlīdzekļiem. Iespēja noteiktos gadījumos izmantot ietvi ļauj pašgājēja velosipēda vadītājam izvēlēties drošāku pārvietošanās vidi, īpaši: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intensīvas satiksmes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šaurās brauktuvēs,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sliktos meteoroloģiskos apstākļos.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Samērīguma princips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regulējumā paredzēts, ka pārvietošanās pa ietvi ir pieļaujama tikai netraucējot gājējus. Šis nosacījums nodrošina gājēju prioritāti un pietiekamu aizsardzības līmeni, padarot papildu aizliegumu nesamērīgu.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Vienota pieeja mikromobilitātes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Pašgājēja velosipēda izslēgšana no šī regulējuma radītu nevienlīdzīgu attieksmi salīdzinājumā ar velosipēdiem un elektroskrejriteņiem, lai gan riski un lietošanas scenāriji ir līdzīgi.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minēto, lūdzu saglabāt pašgājēja velosipēda vadītājiem iespēju noteiktos gadījumos pārvietoties pa ietvi, paredzot pienākumu netraucēt gājējus un ievērot īpašu piesardz</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Pašgājēja velosipēda izslēgšana no transportlīdzekļu kategorijām, kurām noteiktos gadījumos atļauta pārvietošanās pa ietvi, ir pamatota ar sabiedrības drošības interesēm, gājēju prioritāti un satiksmes telpas funkcionālo nošķīrumu.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lai gan pašgājējs velosipēds tehniski var būt līdzīgs velosipēdam vai elektroskrejritenim pēc masas un izmēriem, būtiska atšķirība ir tā autonomā kustība bez pedāļu spēka un stabila paātrinājuma dinamika. Tas nozīmē, ka transportlīdzeklis spēj ilgstoši uzturēt vienmērīgu ātrumu bez fiziska piepūles ierobežojuma, kas praktiski tuvina to mehāniskam transportlīdzeklim. Regulējuma mērķis nav tikai salīdzināt tehniskos parametrus, bet vērtēt kustības raksturu un radīto risku gājēju vidē.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ietve primāri ir paredzēta gājējiem – tai skaitā bērniem, senioriem un personām ar kustību traucējumiem. Sabiedrības interesēs ir saglabāt ietvi kā drošu, prognozējamu un zema riska vidi. Jo lielāks ir mehāniskās kustības īpatsvars uz ietvēm, jo augstāks kļūst sadursmju un traumatisma risks, īpaši situācijās ar ierobežotu redzamību vai lielāku gājēju plūsmu. Satiksmes drošības politika balstās uz principu, ka mazāk aizsargātie satiksmes dalībnieki (gājēji) nedrīkst tikt pakļauti papildu riskam, lai kompensētu cita transportlīdzekļa vadītāja drošības vajadzības.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Treškārt, arguments par brauktuves riskantumu pats par sevi nevar kalpot par pamatu pārcelt risku uz ietvi. Satiksmes organizācijā tiek ievērots funkcionālas nošķiršanas princips — brauktuve paredzēta transportlīdzekļiem, ietve gājējiem. Ja konkrētās vietās brauktuve nav piemērota noteiktai mikromobilitātes formai, risinājums meklējams infrastruktūras attīstībā (veloinfrastruktūra, ātruma ierobežojumi u.c.), nevis paplašinot pārvietošanās iespējas gājēju zonā.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Ceturtkārt, samērīguma princips šajā gadījumā nozīmē līdzsvaru starp pašgājēja velosipēda vadītāja interesēm un gājēju drošību. Gājēji ir absolūti neaizsargātākā satiksmes dalībnieku grupa, un jebkura mehāniskas kustības paplašināšana uz ietvēm palielina konfliktu iespējamību. Nosacījums “netraucēt gājējus” praksē ir grūti kontrolējams un bieži subjektīvi interpretējams, kas apgrūtina tiesību normu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Piektkārt, vienota pieeja mikromobilitātei nenozīmē identisku regulējumu visiem transportlīdzekļiem. Regulējuma diferencēšana ir pieļaujama un nepieciešama, ja pastāv atšķirīgs riska profils vai kustības dinamika. Sabiedrības interesēs ir konsekventa tendence mazināt mehāniskās kustības īpatsvaru uz ietvēm, nevis to paplašināt.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pašgājēja velosipēda pārvietošanās ierobežošana pa ietvi nav vērsta pret konkrētu transportlīdzekļa veidu, bet gan uz gājēju drošības nodrošināšanu un satiksmes telpas skaidru funkcionālo sadalījumu. Sabiedrības kopējā interese – īpaši mazāk aizsargāto satiksmes dalībnieku drošība – šajā gadījumā ir prioritāra.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22.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w:t>
            </w:r>
            <w:r w:rsidR="00000000" w:rsidRPr="00000000" w:rsidDel="00000000">
              <w:rPr>
                <w:rtl w:val="0"/>
              </w:rPr>
              <w:t xml:space="preserve">209. punktā</w:t>
            </w:r>
            <w:r w:rsidR="00000000" w:rsidRPr="00000000" w:rsidDel="00000000">
              <w:rPr>
                <w:rtl w:val="0"/>
              </w:rPr>
              <w:t xml:space="preserve"> </w:t>
            </w:r>
            <w:r w:rsidR="00000000" w:rsidRPr="00000000" w:rsidDel="00000000">
              <w:rPr>
                <w:rtl w:val="0"/>
              </w:rPr>
              <w:t xml:space="preserve">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Velosipēdam abos tā sānos un riteņu abās pusēs, jābūt aprīkotam ar dzelteniem gaismas atstarotājiem, priekšpusē jābūt aprīkotam ar baltu atstarotāju, bet aizmugurē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w:t>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 ja tiek nodrošināta ceļu satiksmes drošība.”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Noteikumu 28. nodaļu “Noslēguma jautājumi” ar 300.punktu un 301.punktu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Līdz pasažieru sabiedrisko transportlīdzekļu luksoforu nomaiņai, bet ne vēlāk kā līdz 2028. gada 1. janvārim, atļauts lietot luksoforus ar baltiem gaismas signāliem, kas izvietoti "T" burta veidā. Šo noteikumu 50.punkts ir spēkā līdz 2028. gada 1.janvārim. Šo noteikumu 50</w:t>
            </w:r>
            <w:r w:rsidR="00000000" w:rsidRPr="00000000" w:rsidDel="00000000">
              <w:rPr>
                <w:vertAlign w:val="superscript"/>
                <w:rtl w:val="0"/>
              </w:rPr>
              <w:t xml:space="preserve">1</w:t>
            </w:r>
            <w:r w:rsidR="00000000" w:rsidRPr="00000000" w:rsidDel="00000000">
              <w:rPr>
                <w:rtl w:val="0"/>
              </w:rPr>
              <w:t xml:space="preserve">. punkts stājas spēkā no 2026.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103.9. apakšpunkts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Oficiālo publikāciju un tiesiskās informācijas likuma 9. panta ceturtā daļa noteic, ka </w:t>
            </w:r>
            <w:r w:rsidR="00000000" w:rsidRPr="00000000" w:rsidDel="00000000">
              <w:rPr>
                <w:u w:val="single"/>
                <w:rtl w:val="0"/>
              </w:rPr>
              <w:t xml:space="preserve">normatīvajam aktam vai tā daļai nav atpakaļejoša spēka, izņemot likumā īpaši paredzētus gadījumus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to, ka 2026. gada 1. janvāris ir pagājis, lūdzam precizēt Ministru kabineta noteikumu projektā "Grozījumi Ministru kabineta 2015. gada 2. jūnija noteikumos Nr. 279 "Ceļu satiksmes noteikumi"" (turpmāk – projekts) paredzētajā Ministru kabineta 2015. gada 2. jūnija noteikumu Nr. 279 "Ceļu satiksmes noteikumi" (turpmāk – noteikumi) 300. punktā ietverto regulējumu, kā arī precizēt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ietverto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28. nodaļu “Noslēguma jautājumi” ar 300. un 301. 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Šo noteikumu </w:t>
            </w:r>
            <w:r w:rsidR="00000000" w:rsidRPr="00000000" w:rsidDel="00000000">
              <w:rPr>
                <w:rtl w:val="0"/>
              </w:rPr>
              <w:t xml:space="preserve">103.9. apakšpunkts</w:t>
            </w:r>
            <w:r w:rsidR="00000000" w:rsidRPr="00000000" w:rsidDel="00000000">
              <w:rPr>
                <w:rtl w:val="0"/>
              </w:rPr>
              <w:t xml:space="preserve">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Līdz pasažieru sabiedrisko transportlīdzekļu luksoforu nomaiņai, bet ne vēlāk kā līdz 2028. gada 1. janvārim, atļauts lietot luksoforus ar baltiem gaismas signāliem, kas izvietoti "T" burta veidā. Šo noteikumu </w:t>
            </w:r>
            <w:r w:rsidR="00000000" w:rsidRPr="00000000" w:rsidDel="00000000">
              <w:rPr>
                <w:rtl w:val="0"/>
              </w:rPr>
              <w:t xml:space="preserve">50. punkts</w:t>
            </w:r>
            <w:r w:rsidR="00000000" w:rsidRPr="00000000" w:rsidDel="00000000">
              <w:rPr>
                <w:rtl w:val="0"/>
              </w:rPr>
              <w:t xml:space="preserve"> ir spēkā līdz 2028. gada 1.janvārim.".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Sporta vai atpūtas inventāra, kas darbināms ar elektrisko piedziņu, lietotājiem papildus jāievēro šo noteikumu 200, 200.2., 200.3., 200.4., 201., 202., 203., 204., 205., 206., 207., 211., 214., 216., un 217.(izņemot 217.1.)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projektā paredzētajā noteikumu 8. punktā ir ietverta atsauce uz visu noteikumu 200. punktu, lūdzam svītrot atsauci uz noteikumu 200.2., 200.3. un 200.4. apakšpunktu vai 200.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projektā paredzētajā noteikumu 8. punktā ietverto atsauci uz noteikumu 214., 216. un 217. punktu (izņemot 217.1. apakšpunktu), jo šajās tiesību normās ir ietverts regulējums, kas attiecas uz pajūgu vadītājiem, jātniekiem un dzīvnieku dzinējiem, un nepieciešamības gadījumā attiecīgi precizēt projektu, kā arī precizēt anotācijas 1.3. apakšsadaļā ietverto informāciju par precizēto projektā paredzēto noteikumu 8.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redakcijā 200. punkts satur gan vispārējo principu (par pienākumu braukt pa velojoslu, velosipēdu ceļu utt.), gan alternatīvas rīcības iespējas (200.1.–200.4.). Tomēr 200.1. regulē braukšanu pa brauktuvi un ar to saistītos izņēmumus (izbraukšana tālāk uz brauktuves, nogriešanās pa kreisi u.c.). Šis regulējums pēc būtības nav attiecināms uz sporta vai atpūtas inventāra lietotājiem, kuriem 8. punktā paredzēts īpašs pārvietošanās režīms.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šeit nav runa par tehnisku dublēšanos, bet par apzinātu selektīvu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Sporta vai atpūtas inventāra, kas darbināms ar elektrisko piedziņu, lietotājiem papildus jāievēro šo noteikumu 200, 200.2., 200.3., 200.4., 201., 202., 203., 204., 205., 206., 207., 211., 214., 216., un 217.(izņemot 217.1.) punktā minētās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projekta 1.punktā piedāvātajā 8.punkta redakcijā skaitļus un vārdus "211., 214., 216. un 217. (izņemot 217.1.) punktā" ar vārdiem un skaitli "un 211.punktā", jo nav saprotams, kā gan uz sporta vai atpūtas inventāra, kas darbināms ar elektrisko piedziņu, lietotājiem varētu tikt attiecinātas Ceļu satiksmes noteikumu 23.nodaļā noteiktās papildu prasības, kas attiecināmas uz pajūgu vadītājiem, jātniekiem un dzīvnieku dzinējiem.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Noteikumu 69.punktu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Ārpus krustojumiem, kur tramvaja sliežu ceļa klātne šķērso bezsliežu transportlīdzekļu brauktuvi, pasažieru sabiedriskajiem transportlīdzekļiem, kas brauc pa tramvaja sliežu klātni, ir priekšroka.”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6.punktā piedāvāto 69.punkta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Izteikt 69.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Ārpus krustojumiem, kur tramvaja sliežu ceļa klātne šķērso bezsliežu transportlīdzekļu brauktuvi, pasažieru sabiedriskajiem transportlīdzekļiem, kas brauc pa tramvaja sliežu ceļa klātni, ir priekšroka."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Papildināt Noteikumu 72.punktu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neattiecas uz pasažieru sabiedriskajiem transportlīdzekļiem."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8.punktā piedāvātos grozījumus 72.punktā, paredzot attiecīgu grozījumu izdarīšanu jau šobrīd spēkā esošajā 72.punkta redakcijā un aizstājot tajā vārdus "tramvaja sliežu klātnes" ar vārdiem "tramvaja sliežu ceļa klātnes" (tādējādi nodrošinot vienveidīgas terminoloģijas lietošanu visā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72.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vārdus "tramvaja sliežu klātnes" ar vārdiem "tramvaja sliežu ceļa klātnes";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prasība neattiecas uz pasažieru sabiedriskajiem transportlīdzekļiem."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Noteikumu 89.punkta otro teikumu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nedrīkst radīt traucējumus pasažieru sabiedriskajiem transportlīdzekļiem, kas brauc pa tramvaja sliežu klātni.”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10.punktā piedāvāto 89.punkta otrā teikuma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Izteikt 89. 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“Šādā gadījumā nedrīkst radīt traucējumus pasažieru sabiedriskajiem transportlīdzekļiem, kas brauc pa tramvaja sliežu ceļa klātni.”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Noteikumu 127.punktu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satiksmes regulētāja vai luksofora signāli atļauj braukt vienlaikus tramvajam un bezsliežu transportlīdzekļiem, priekšroka ir tramvajam un citiem pasažieru sabiedriskajiem transportlīdzekļiem, kas brauc pa tramvaja sliežu klātni, no tās nenobraucot.”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14.punktā piedāvāto 127.punkta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Izteikt 127.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 Ja satiksmes regulētāja vai luksofora signāli atļauj braukt vienlaikus tramvajam un bezsliežu transportlīdzekļiem, priekšroka ir tramvajam un citiem pasažieru sabiedriskajiem transportlīdzekļiem, kas brauc pa tramvaja sliežu ceļa klātni, no tās nenobraucot.”</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Noteikumu 134.punktu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Vienādas nozīmes ceļu krustojumā, kā arī nevienādas nozīmes ceļu krustojumā, ja transportlīdzekļi atrodas uz savstarpēji vienādas nozīmes ceļa, pasažieru sabiedriskā transportlīdzekļa vadītājam, kas brauc pa tramvaja sliežu klātni, no tās nenobraucot, neatkarīgi no tā braukšanas virziena ir priekšroka attiecībā pret bezsliežu transportlīdzekļu vadītājiem.”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15.punktā piedāvāto 134.punkta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Izteikt 134.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 Vienādas nozīmes ceļu krustojumā, kā arī nevienādas nozīmes ceļu krustojumā, ja transportlīdzekļi atrodas uz savstarpēji vienādas nozīmes ceļa, pasažieru sabiedriskā transportlīdzekļa vadītājam, kas brauc pa tramvaja sliežu ceļa klātni, no tās nenobraucot, neatkarīgi no tā braukšanas virziena ir priekšroka attiecībā pret bezsliežu transportlīdzekļu vadītājiem.”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Noteikumu 136.punkta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savstarpēji jāievēro arī pasažieru sabiedrisko transportlīdzekļu vadītājiem, kas brauc pa tramvaja sliežu klātni.”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16.punktā piedāvāto 136.punkta otrā teikuma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Izteikt 136. punkta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noteikumi savstarpēji jāievēro arī pasažieru sabiedrisko transportlīdzekļu vadītājiem, kas brauc pa tramvaja sliežu ceļa klātni.”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Noteikumu 22.nodaļu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209.punktā 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200., 211., 212., 212.</w:t>
            </w:r>
            <w:r w:rsidR="00000000" w:rsidRPr="00000000" w:rsidDel="00000000">
              <w:rPr>
                <w:vertAlign w:val="superscript"/>
                <w:rtl w:val="0"/>
              </w:rPr>
              <w:t xml:space="preserve">1</w:t>
            </w:r>
            <w:r w:rsidR="00000000" w:rsidRPr="00000000" w:rsidDel="00000000">
              <w:rPr>
                <w:rtl w:val="0"/>
              </w:rPr>
              <w:t xml:space="preserve"> un 212.</w:t>
            </w:r>
            <w:r w:rsidR="00000000" w:rsidRPr="00000000" w:rsidDel="00000000">
              <w:rPr>
                <w:vertAlign w:val="superscript"/>
                <w:rtl w:val="0"/>
              </w:rPr>
              <w:t xml:space="preserve">2</w:t>
            </w:r>
            <w:r w:rsidR="00000000" w:rsidRPr="00000000" w:rsidDel="00000000">
              <w:rPr>
                <w:rtl w:val="0"/>
              </w:rPr>
              <w:t xml:space="preserve"> punktā minētās prasības, ja tiek nodrošināta ceļu satiksmes drošība.”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17.punktā piedāvātie grozījumi paredz izteikt visu Ceļu satiksmes noteikumu 22.nodaļas regulējumu jaunā redakcijā. Taču pēc būtības ar šiem grozījumiem, skatot tos kontekstā ar projekta 18.punktā piedāvātajiem grozījumiem, vienā nodaļā tiek apvienots Ceļu satiksmes noteikumu 22. un 22.</w:t>
            </w:r>
            <w:r w:rsidR="00000000" w:rsidRPr="00000000" w:rsidDel="00000000">
              <w:rPr>
                <w:vertAlign w:val="superscript"/>
                <w:rtl w:val="0"/>
              </w:rPr>
              <w:t xml:space="preserve">1</w:t>
            </w:r>
            <w:r w:rsidR="00000000" w:rsidRPr="00000000" w:rsidDel="00000000">
              <w:rPr>
                <w:rtl w:val="0"/>
              </w:rPr>
              <w:t xml:space="preserve">nodaļas regulējums. Taču secināms, ka šādas minētā regulējuma apvienošanas rezultātā jaunajā projekta 22.nodaļas regulējumā nav ietvertas visas šobrīd spēkā esošās tiesību normas, piemēram, Ceļu satiksmes noteikumu 209.punkta regulējums. Projekta sākotnējās ietekmes novērtējuma ziņojumā (anotācijā) nav ietverts skaidrojums, kas pamatotu turpmāku atteikšanos no šī regulējuma.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aicinām attiecīgi precizēt projekta 17.punktā piedāvāto 22.nodaļas regulējumu, pilnībā pārņemot (ietverot) tajā arī šobrīd spēkā esošo Ceļu satiksmes noteikumu 209.punkta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paredzētā 22. nodaļas jaunā redakcija nav mehānisks 22. un 22.</w:t>
            </w:r>
            <w:r w:rsidR="00000000" w:rsidRPr="00000000" w:rsidDel="00000000">
              <w:rPr>
                <w:vertAlign w:val="superscript"/>
                <w:rtl w:val="0"/>
              </w:rPr>
              <w:t xml:space="preserve">1</w:t>
            </w:r>
            <w:r w:rsidR="00000000" w:rsidRPr="00000000" w:rsidDel="00000000">
              <w:rPr>
                <w:rtl w:val="0"/>
              </w:rPr>
              <w:t xml:space="preserve"> nodaļas normu apvienojums, bet gan jēgpilni pārstrukturēts un sistemātiski sakārtots regulējums, kura mērķis ir vienuviet apvienot un precizēt prasības velosipēdu un elektroskrejriteņu vadītājiem. Atsevišķu punktu numerācijas maiņa vai to strukturāla pārcelšana pati par sevi nenozīmē regulējuma izslēgšanu.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spēkā esošo 209. punktu jānorāda, ka tā saturs nav izslēgts no regulējuma, bet ir pilnībā pārņemts un iekļauts jaunajā 22. nodaļā citā numerācijā un loģiskā sistēmā. Spēkā esošais 209. punkts noteica prasības velosipēda aprīkojumam un pienākumus diennakts tumšajā laikā vai nepietiekamas redzamības apstākļos (atstarotāji, lukturi, atstarojošs apģērbs). Jaunajā redakcijā šīs prasības pēc būtības aizstāj un aptver 212., 212.1. un 212.2.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Proti, 212. punkts nosaka, ka velosipēdam abos tā sānos un riteņu abās pusēs jābūt aprīkotam ar dzelteniem gaismas atstarotājiem, priekšpusē – ar baltu atstarotāju, bet aizmugurē –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212.1. punkts paredz, ka, ja lukturu nav vai tie nedarbojas, velosipēda un elektroskrejriteņa vadītājiem diennakts tumšajā laikā jābūt tērptiem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212.2. punkts precizē prasības velosipēdu piekabēm, nosakot, ka to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jaunais regulējums ne tikai pilnībā pārņem līdzšinējā 209. punkta saturu, bet to sistemātiski precizē un paplašina, iekļaujot vienotā struktūrā arī elektroskrejriteņu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Izteikt 22. nodaļu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Papildu prasības velosipēdu un elektroskrejriteņu vadītājiem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 Velosipēdu un elektroskrejriteņu vadītājiem jābrauc pa attiecīgā virziena velojoslu, velosipēdu ceļu vai gājēju un velosipēdu ceļu, vai brauktuves daļu, kas apzīmēta ar 956. ceļa apzīmējumu iespējami tuvāk to labajai malai. Ja to nav vai tie ir attālināti no ceļa, velosipēdu un elektroskrejriteņu vadītājiem atļauts: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 braukt pa brauktuvi vienā rindā iespējami tuvāk brauktuves (braukšanas joslas) labajai malai. Tālāk uz brauktuves atļauts izbraukt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200.1.1. lai apbrauktu, apsteigtu vai apdzītu;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200.1.2. lai apdzīvotā vietā brauktu taisni, ja labā malējā josla ierīkota tikai labajam pagriezienam;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200.1.3. pavadot bērnus, kas jaunāki par 12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200.1.4. lai brauktu pa braukšanas joslu visā tās platumā, bez iemesla netraucējot cita transportlīdzekļa braukšanu, uz ceļiem, kur atļautais braukšanas ātrums nepārsniedz 30 km/h, vietā, kur neveic darbus uz ceļa vai nav maksimālā ātruma ierobežojuma ar noteiktu darbības laiku;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200.1.5. lai nogrieztos pa kreisi šo noteikumu </w:t>
            </w:r>
            <w:r w:rsidR="00000000" w:rsidRPr="00000000" w:rsidDel="00000000">
              <w:rPr>
                <w:rtl w:val="0"/>
              </w:rPr>
              <w:t xml:space="preserve">209. punktā</w:t>
            </w:r>
            <w:r w:rsidR="00000000" w:rsidRPr="00000000" w:rsidDel="00000000">
              <w:rPr>
                <w:rtl w:val="0"/>
              </w:rPr>
              <w:t xml:space="preserve"> </w:t>
            </w:r>
            <w:r w:rsidR="00000000" w:rsidRPr="00000000" w:rsidDel="00000000">
              <w:rPr>
                <w:rtl w:val="0"/>
              </w:rPr>
              <w:t xml:space="preserve">noteiktajos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200.2.  braukt pa nomali, dodot ceļu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 braukt pa ietvi, izņemot pašgājēja velosipēda vadītājiem, netraucējot gājējus, šādos gadījumos: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200.3.1. ja braukšana pa brauktuvi, ņemot vērā ceļu satiksmes intensitāti, ceļa un meteoroloģiskos apstākļus, nav iespējama, ir apgrūtināta vai bīstama;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200.3.2. bērniem, kuri jaunāki par 12 gadiem, un velosipēdu un elektroskrejriteņu vadītājiem, kuri tos pavada.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200.4. braukt pa kopīgu gājēju un velosipēdu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 Braucot pa ietvi vai kopīgu gājēju un velosipēdu ceļu, velosipēdu un elektroskrejriteņu vadītājiem jāievēro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201.1. gājējiem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 jāizvēlas tāds braukšanas ātrums, lai netiktu apdraudēti vai traucēti gājēji;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201.3. ja pastāv risks, ka var apdraudēt vai traucēt gājējus, jābrauc ar ātrumu, kas nepārsniedz gājēju pārvietošanās ātrumu, vai jāaptur transportlīdzeklis.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 Velosipēdu un elektroskrejriteņu vadītājiem jābrauc ar ātrumu, kas neapdraud ceļu satiksmes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Velosipēdu un elektroskrejriteņu vadītājiem jāievēro to satiksmei noteiktais virziens un brauktuves puse. Braukt pretējā virzienā pa brauktuvi aizliegts, izņemot gadījumus, kad tas noteikts ar atbilstošām ceļa zīmēm vai apzīmējumiem.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 Velosipēdu un elektroskrejriteņu vadītājiem atļauts šķērsot brauktuvi pa ietves vai nomales iedomāto turpinājumu krustojumā, kā arī, netraucējot gājējus, – pa gājēju pārejām. Pirms brauktuves šķērsošanas velosipēdu un elektroskrejriteņu vadītājiem laikus jāsamazina braukšanas ātrums un, ja tas nepieciešams ceļu satiksmes drošībai, transportlīdzeklis jāaptur. Šķērsojot brauktuvi pa ietves iedomāto turpinājumu, velosipēdu un elektroskrejriteņa vadītājiem jābrauc ar ātrumu, kas nepārsniedz gājēju pārvietošanās ātrumu un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 Ja gājēju pārejas robežās, ko nosaka 535., 536. zīmes, ietverti 931. un 932. apzīmējumi, velosipēdu un elektroskrejriteņu vadītājiem brauktuve jāšķērso pa gājēju pārejas daļu, kas paredzēta braukšanai ar velosipēdu.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  Vietās, kur ārpus krustojumiem velosipēdu ceļš, gājēju un velosipēdu ceļš vai kopīgais gājēju un velosipēdu ceļš šķērso brauktuvi un ceļu satiksme netiek regulēta, velosipēdu un elektroskrejriteņa vadītājiem, kas brauc pa šiem ceļiem, jādod ceļš transportlīdzekļiem, kas brauc pa šķērsojamo ceļu.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 Vietās, kur velosipēdu un elektroskrejriteņa vadītāju braukšanas trajektorijas krustojas ar pārējo transportlīdzekļu braukšanas trajektorijām, velosipēdu vadītājiem jānovērtē attālums līdz transportlīdzekļiem, kas tuvojas, kā arī jānovērtē to braukšanas ātrums un jāpārliecinās par drošību.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 Pirms nogriešanās pa kreisi velosipēda un elektroskrejriteņa vadītājiem jāizvērtē ceļa veids (vienvirziena, divvirzienu, joslu skaits, atļautie braukšanas virzieni tajās u. tml.), satiksmes intensitāte un jāizvēlas drošākais manevra veikšanas veids tā, lai neradītu satiksmei bīstamas situācijas.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 Vietās, kur nav iekārtots velosipēdu ceļš, gājēju un velosipēdu ceļš vai kopīgs gājēju un velosipēdu ceļš, velosipēda un elektroskrejriteņa vadītājiem nogriešanās pa kreisi jāveic: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 krustojumos apdzīvotās vietās: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209.1.1. šķērsojot brauktuvju krustošanās vietu pa brauktuves labo malu, dodot ceļu tajā pašā virzienā taisni braucošajiem transportlīdzekļiem un tiem ceļu satiksmes dalībniekiem, kam saskaņā ar braukšanas noteikumiem krustojumā ir priekšroka;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209.1.2. uz ceļiem, kur ceļu satiksme notiek divos virzienos un ir viena braukšanas josla katrā virzienā, nogriešanos pa kreisi atļauts veikt no kreisā malējā stāvokļa, kas ieņemts uz brauktuves;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209.1.3. uz ceļiem, kur noteikta vienvirziena satiksme,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209.1.4. ja braukšanai attiecīgajā virzienā ir vairākas joslas un iekārtota atsevišķa josla tikai braukšanai pa kreisi, nogriešanos pa kreisi atļauts veikt no kreisās malējās joslas labās malas.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209.2. ārpus krustojumiem apdzīvotās vietās no brauktuves labās malas, bet uz ceļiem, kur ceļu satiksme notiek divos virzienos ar vienu joslu katrā virzienā, – arī no kreisā malējā stāvokļa, kas ieņemts uz attiecīgā virziena braukšanas joslas.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209.3. ārpus apdzīvotām vietām - tikai no brauktuves labās malas (labās nomales), dodot ceļu tajā pašā virzienā un pretim braucošajiem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Velosipēdam un ektroskrejritenim jābūt tehniskā kārtībā un aprīkotam ar bremzēm.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Elektroskrejritenim braukšanas laikā priekšpusē jādeg baltas gaismas lukturim, bet aizmugurē – sarkanas gaismas lukturim. Elektroskrejritenim abos tā sānos jābūt aprīkotam ar dzelteniem gaismas atstarotājiem.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Velosipēdam abos tā sānos un riteņu abās pusēs, jābūt aprīkotam ar dzelteniem gaismas atstarotājiem, priekšpusē jābūt aprīkotam ar baltu atstarotāju, bet aizmugurē ar sarkanu atstarotāju, kā arī, braucot diennakts tumšajā laikā vai nepietiekamas redzamības apstākļos, priekšpusē jādeg baltas gaismas lukturim un aizmugurē –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Ja lukturu nav vai tie nedarbojas, velosipēda un elektroskrejriteņa vadītājiem diennakts tumšā laikā jābūt tērptam atstarojošā vestē vai apģērbā ar labi redzamiem gaismu atstarojošiem elementiem.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Velosipēdu piekabēm aizmugurē jābūt sarkanam gaismas atstarotājam, kā arī, braucot diennakts tumšajā laikā vai nepietiekamas redzamības apstākļos, aizmugurē jādeg sarkanas gaismas lukturim.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Velosipēda un elektroskrejriteņa vadītājiem vecumā līdz 17 gadiem galvā jābūt aizsprādzētai aizsargķiverei.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  Velosipēdu un elektroskrejriteņu vadītājiem aizliegts: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.1. braukt, neturot stūri;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.2. braukt, turoties pie cita braucoša transportlīdzekļa;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212.4.3. pārvadāt kravu, kas traucē vadīšanu vai apdraud citus ceļu satiksmes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.4. vest pasažieri. Ar velosipēdu atļauts vest bērnus vecumā līdz septiņiem gadiem ar galvā uzvilktu aizsprādzētu aizsargķiveri, ja ir iekārtoti droši papildu sēdekļi vai velosipēds ir izgatavots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rtl w:val="0"/>
              </w:rPr>
              <w:t xml:space="preserve">.5. vilkt citus transportlīdzekļus, izņemot piekabes, kas izgatavotas speciāli šim nolūkam;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5</w:t>
            </w:r>
            <w:r w:rsidR="00000000" w:rsidRPr="00000000" w:rsidDel="00000000">
              <w:rPr>
                <w:rtl w:val="0"/>
              </w:rPr>
              <w:t xml:space="preserve">. Velosipēdu vadītāji treniņnodarbību laikā vai organizētu sacensību laikā, ja tos noteiktā kārtībā pavada speciāli aprīkoti automobiļi, drīkst neievērot šo noteikumu </w:t>
            </w:r>
            <w:r w:rsidR="00000000" w:rsidRPr="00000000" w:rsidDel="00000000">
              <w:rPr>
                <w:rtl w:val="0"/>
              </w:rPr>
              <w:t xml:space="preserve">200.</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minētās prasības, ja tiek nodrošināta ceļu satiksmes drošība.”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Noteikumu 283.16.punktā un 4. pielikumā mainīt 724. zīmes "Satiksmes ierobežojumi Latvijā" attēlu, ietverot sekojošu zīmes 724. zīmes "Satiksmes ierobežojumi Latvijā" attēlu: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23.punkta redakciju, svītrojot tajā aiz vārda "sekojošu" lietoto vārdu "zīmes".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Aizstāt 283.16. apakšpunktā un 4. pielikumā 724. zīmes "Satiksmes ierobežojumi Latvijā" attēlu ar jaunu 724. zīmes "Satiksmes ierobežojumi Latvijā" attēlu.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Noteikumu 290.2.apakšpunktu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ceļa apzīmējums neattiecas uz pasažieru sabiedriskajiem transportlīdzekļiem, kas brauc pa tramvaja sliežu klātni.”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24.punktā piedāvāto 290.2.apakšpunkta otrā teikuma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Papildināt 290.2.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ceļa apzīmējums neattiecas uz pasažieru sabiedriskajiem transportlīdzekļiem, kas brauc pa tramvaja sliežu ceļa klātni.”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Noteikumu 290.3.apakšpunktu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un 907. ceļa apzīmējums neattiecas uz pasažieru sabiedriskajiem transportlīdzekļiem kas brauc pa tramvaja sliežu klātni.”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25.punktā piedāvāto 290.3.apakšpunkta otrā teikuma redakciju, aizstājot tajā vārdus "tramvaja sliežu klātni" ar vārdiem "tramvaja sliežu ceļa klātni" (tādējādi nodrošinot vienveidīgas terminoloģijas lietošanu visā projekta un attiecīgi arī Ceļu satiksmes noteikumu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 Papildināt 290.3. apakšpunktu ar otro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“906. un 907. ceļa apzīmējums neattiecas uz pasažieru sabiedriskajiem transportlīdzekļiem kas brauc pa tramvaja sliežu ceļa klātni.”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Noteikumu 28. nodaļu “Noslēguma jautājumi” ar 300.punktu un 301.punktu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Līdz pasažieru sabiedrisko transportlīdzekļu luksoforu nomaiņai, bet ne vēlāk kā līdz 2028. gada 1. janvārim, atļauts lietot luksoforus ar baltiem gaismas signāliem, kas izvietoti "T" burta veidā. Šo noteikumu 50.punkts ir spēkā līdz 2028. gada 1.janvārim. Šo noteikumu 50</w:t>
            </w:r>
            <w:r w:rsidR="00000000" w:rsidRPr="00000000" w:rsidDel="00000000">
              <w:rPr>
                <w:vertAlign w:val="superscript"/>
                <w:rtl w:val="0"/>
              </w:rPr>
              <w:t xml:space="preserve">1</w:t>
            </w:r>
            <w:r w:rsidR="00000000" w:rsidRPr="00000000" w:rsidDel="00000000">
              <w:rPr>
                <w:rtl w:val="0"/>
              </w:rPr>
              <w:t xml:space="preserve">. punkts stājas spēkā no 2026. gada 1.janvāra.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Šo noteikumu 103.9. apakšpunkts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projekta 26.punktā piedāvāto 300.punkta trešā teikuma redakciju, norādot tajā korektu 50.</w:t>
            </w:r>
            <w:r w:rsidR="00000000" w:rsidRPr="00000000" w:rsidDel="00000000">
              <w:rPr>
                <w:vertAlign w:val="superscript"/>
                <w:rtl w:val="0"/>
              </w:rPr>
              <w:t xml:space="preserve">1</w:t>
            </w:r>
            <w:r w:rsidR="00000000" w:rsidRPr="00000000" w:rsidDel="00000000">
              <w:rPr>
                <w:rtl w:val="0"/>
              </w:rPr>
              <w:t xml:space="preserve">punkta spēkā stāšanās datumu.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Papildināt 28. nodaļu “Noslēguma jautājumi” ar 300. un 301. punktu šāda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“300. Šo noteikumu </w:t>
            </w:r>
            <w:r w:rsidR="00000000" w:rsidRPr="00000000" w:rsidDel="00000000">
              <w:rPr>
                <w:rtl w:val="0"/>
              </w:rPr>
              <w:t xml:space="preserve">103.9. apakšpunkts</w:t>
            </w:r>
            <w:r w:rsidR="00000000" w:rsidRPr="00000000" w:rsidDel="00000000">
              <w:rPr>
                <w:rtl w:val="0"/>
              </w:rPr>
              <w:t xml:space="preserve"> stājas spēkā 2026. gada 1. jūlijā.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301. Līdz pasažieru sabiedrisko transportlīdzekļu luksoforu nomaiņai, bet ne vēlāk kā līdz 2028. gada 1. janvārim, atļauts lietot luksoforus ar baltiem gaismas signāliem, kas izvietoti "T" burta veidā. Šo noteikumu </w:t>
            </w:r>
            <w:r w:rsidR="00000000" w:rsidRPr="00000000" w:rsidDel="00000000">
              <w:rPr>
                <w:rtl w:val="0"/>
              </w:rPr>
              <w:t xml:space="preserve">50. punkts</w:t>
            </w:r>
            <w:r w:rsidR="00000000" w:rsidRPr="00000000" w:rsidDel="00000000">
              <w:rPr>
                <w:rtl w:val="0"/>
              </w:rPr>
              <w:t xml:space="preserve"> ir spēkā līdz 2028. gada 1.janvārim.".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izziņas 8. punktā minētā izriet, ka Ceļu satiksmes likuma 45. panta ceturtajā daļā ir regulējums par pašvaldības tiesībām izsniegt personām ar invaliditāti īpašas atļaujas pārvietoties ar transportlīdzekli pa ietvēm, gājēju ceļiem, velosipēdu ceļiem, gājēju un velosipēdu ceļiem, kopīgiem gājēju un velosipēdu ceļiem, lūdzam papildināt anotācijas 1.3. apakšsadaļu ar attiecīgu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04.09.2025. 09:37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(SIA Bolt Services LV - 12.11.2025.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Papildinot Latvijas Mobilitātes Asociācijas līdz šim paustos iebildumus par grozījumiem Ministru kabineta 2015. gada 2. jūnija noteikumos Nr. 279 "Ceļu satiksmes noteikumi" (turpmāk - grozījumi) publiskās apspriešanas un saskaņošanas posmā, kurus lūdzam ņemt vērā, Bolt papildus norāda uz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Saeimā pieņemtie grozījumi “Ceļu satiksmes likumā” (Nr: 831/Lp14) nosaka papildus ievērojamu slogu pakalpojuma sniedzējiem, operatoriem, kā arī paredzami, ka atstās ietekmi uz lietotāju uzvedību. Bolt aicina šobrīd neizdarīt pārsteidzīgus lēmumus kā 15 km/h ātruma ierobežojumu elektroskrejriteņu vadītājiem, braucot pa ietvi vai kopīgo gājēju un velosipēdu ceļu, pirms jaunākie grozījumi Ceļu satiksmes likumā par tiesībām un reakcijas testiem nav stājušies spēkā un ir veikts pirmais ietekmes novērtējums. Ir nepieciešams vienoties ar visām iesaistītajām pusēm par ietekmes izvērtēšanas periodu, kas provizoriski varētu būt 2026.gada rudens.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Bolt kā lielākais mikromobilitātes operators Eiropā apzinās ceļu satiksmes drošības nozīmi, kā arī esam gatavi atbalstīt un ieviest mērķtiecīgus pasākumus, lai uzlabotu ceļu satiksmes drošību. Bolt jau šobrīd brīvprātīgi ir ieviesis vairākus drošības uzlabojumus, kas palīdz uzlabot ceļu satiksmes drošību un braukšanas kultūru: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Braukšanas uz skrejriteņa divatā noteikšana – palīdz identificēt braucienus divatā un preventīvi tos aptur, ja sensori konstatē divu personu pārvietošanos ar vienu skrejriteni.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Pārgalvīgas braukšanas rādītāju – pateicoties plašam sensoru klāstam, sistēma spēj identificēt apzinātas skrejriteņa izslidināšanas, straujas bremzēšanas un braucienus divatā. Ar algoritma palīdzību lietotājiem tiek izteikti brīdinājumi vai īstermiņā/ilgtermiņā liegta pieeja pakalpojumam.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Ātruma ierobežojums – visās pilsētās Latvijā, kur pieejams Bolt skrejriteņu nomas pakalpojums, tieši pie skolām, bērnudārziem, parkiem, skvēros, vēsturisku vietu apkārtnē un citās publiskās vietās, kur mēdz pulcēties daudz cilvēku, esam izveidojuši zema ātruma zonas, kur braukšanas ātrums samazinās uz 15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Tā kā grozījumi plāno ieviest 15 km/h ātruma ierobežojumu elektroskrejriteņu vadītājiem, braucot pa ietvi vai kopīgo gājēju un velosipēdu ceļu, vēršam uzmanību, ka Latvijā nav izveidots pietiekams un drošs velosipēdu ceļu tīkls, kas aptvertu galvenos pilsētu maršrutus. Tā rezultātā, ierosinātais 15 km/h ātruma ierobežojums elektroskrejriteņiem uz ietvēm un kopīgo gājēju un velosipēdu ceļu faktiski ierobežotu būtisku ilgtspējīgu pārvietošanās veidu. Ņemot vērā velosipēdu ceļu infrastruktūras trūkumu, šis nav tikai regulējums drošības jomā, bet universāls ātruma ierobežojums gandrīz visā pilsētā. Šie grozījumi ierobežotu elektroskrejriteņus kā praktisku alternatīvu citiem transporta veidiem, tostarp, automašīnām vai sabiedriskajam transportam lielākajā daļā braucienu, tādējādi veicinot atgriešanos pie vairāk piesārņojošiem un satiksmi noslogojošiem pārvietošanās veidiem.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Plašs velosipēdu joslu tīkls ir vienīgais ilgtermiņa risinājums, kas var patiesi nošķirt elektroskrejriteņus un gājējus, padarot pārvietošanos pilsētā drošāku un efektīvāku visiem. Nodrošinot atbilstošu vietu koplietošanas mobilitātes risinājumiem, pilsēta var nodrošināt videi draudzīgāku, ātrāku un ilgtspējīgāku nākotni, vienlaikus uzlabojot drošību visiem iedzīvotājiem. Bolt ir atvērts tālākām diskusijām ar atbildīgajām institūcijām un nozares partneriem, lai kopīgi rastu efektīvākos un praksē īstenojamos risinājumus satiksmes drošības uzlabošanai. Mēs esam gatavi atbalstīt un ieviest mērķtiecīgus, uz datiem balstītus pasākumus, kas veicinās ceļu satiksmes drošību.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Iesniegts pēc termiņa.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(LDDK - 19.09.2025.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Darba devēju konfederācija (turpmāk tekstā - LDDK) ir iepazinusies ar Satiksmes ministrijas  (SM) izstrādāto projektu “Grozījumi Ministru kabineta 2015. gada 2. jūnija noteikumos Nr. 279 "Ceļu satiksmes noteikumi"” (turpmāk tekstā Projekts) un izsaka šādus iebildumus un priekšlikumus: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punktā SM piedāvā ieviest attiecībā uz vairākiem ar elektrisko piedziņu darbināmiem sporta vai atpūtas pārvietošanās rīkiem, nosacījumu, ka ir jābūt apdrošinātai personas civiltiesiskai atbildībai pret zaudējumiem, kas nodarīti trešajām personām. LDDK atbalsta nepieciešamību ieviest civiltiesiskās atbildības apdrošināšanu, jo tā palīdz ne tikai cietušajai pusei savlaikus saņemt nepieciešamos resursus, bet arī personai, kuras darbības rezultātā trešajai personai radušies zaudējumi, nenonākt maksātnespējas situācijā. Vienlaikus LDDK ieskatā to var nodrošināt ar divām alternatīvām - gan apdrošinot personas (konkrētā lietotāja) civiltiesisko atbildību, gan apdrošinot konkrētā pārvietošanās inventāra īpašnieka civiltiesisko atbildību. Turklāt, būtu vēlams norādīt arī elektriskās piedziņas jaudu, no kuras ir spēkā šāda prasība, kas, ņemot vērā ES Regulas Nr. 168/2013 noteikto klasifikāciju, varētu tikt attiecināta uz inventāru, kura elektriskās piedziņas jauda pārsniedz 250W.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punktā arī alternatīvu - konkrētā pārvietošanās inventāra īpašnieka civiltiesiskās atbildības apdrošināšanu;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Norādīt elektriskās piedziņas jaudu, no kuras ir spēkā prasība apdrošināt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iebilst pret Projekta 18.punktu SM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piedāvā noteikt, ka Braucot pa ietvi vai kopīgo gājēju un velosipēdu ceļu, elektroskrejriteņu braukšanas ātrums nedrīkst pārsniegt 15 km/h.</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ieskatā šāds ierobežojums varētu būt atbilstīgs vietās, kur ietve vai kopīgais gājēju un velosipēdu ceļš piekļaujas frontālajai apbūvei. Savukārt vietās, kur ietve vai kopīgais gājēju un velosipēdu ceļš, kā arī tam piegulošā daļa ir labi pārskatāma un konkrētajā laikā uz tā nav gājēju, šāds ierobežojums nav pamatots. Vadītājiem jāizvēlas tāds braukšanas ātrums, kas atbilst konkrētajiem apstākļiem, lai netiktu apdraudēti vai traucēti gājēji un, ja nepieciešams, jābrauc ar ātrumu, kas nepārsniedz gājēju pārvietošanās ātrumu.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Projekta 12.punktā ietverto priekšlikumu attiecībā uz Noteikumu 127.punktun un 13.punktā ietverto priekšlikumu attiecībā uz Noteikumu 134.punkta redakciju, terminu sadaļu būtu vēlams papildināt ar Tramvaju sliežu klātnes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SM piedāvātā Noteikumu 134.punkta redakcija paredz, ka vienādas nozīmes ceļu krustojumā, kā arī nevienādas nozīmes ceļu krustojumā, ja transportlīdzekļi atrodas uz savstarpēji vienādas nozīmes ceļa, pasažieru sabiedriskā transportlīdzekļa vadītājam, kas brauc pa tramvaja sliežu klātni, no tās nenobraucot, neatkarīgi no tā braukšanas virziena ir priekšroka attiecībā pret bezsliežu transportlīdzekļu vadītājiem. Ņemot vērā, ka jebkuras neskaidrības priekšrocības nosacījumu ievērošanā var izraisīt nevēlamas sekas, citu transportlīdzekļu vadītājiem ir jābūt skaidram, kā tulkot nosacījumu: “pasažieru sabiedriskais transportlīdzeklis brauc pa tramvaja sliežu klātni, no tās nenobraucot”.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Ietvert Noteikumu 29.punktā papildus nosacījumu: “ar ieslēgtiem speciālajiem [gaismas un skaņas] signāliem”.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29.punkta esošā redakcija paredz, ka Operatīvie transportlīdzekļi drīkst piedalīties ceļu satiksmē, tikai pildot neatliekamus dienesta uzdevumus. Tomēr operatīvie transportlīdzekļi nezaudē saskaņā ar Ministru kabineta 1999.gada 31.augusta noteikumiem Nr.304 noteikto operatīvā transportlīdzekļa statusu arī tad, kad piedalās ceļu satiksmē, nepildot neatliekamus dienesta uzdevumus.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519.ceļa zīmi "Apdzīvotas vietas sākums" padarīt redzamāku, veidojot tai apmali, kā tas ir brīdinājuma un aizlieguma zīmēm.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519. zīme "Apdzīvotas vietas sākums", kuras pamatfunkcija ir informēt autovadītājus par ļoti būtiskām braukšanas nosacījumu izmaiņām, ir ar papildzīmes dizainu, turklāt, tā ir ievērojami sliktāk pamanāma, nekā 520. zīme "Apdzīvotas vietas beigas".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mainīt Noteikumu 99.punktā ietverto nosacījumu secību.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99.punkta esošā redakcija priekšplānā izvirza noteiktos ierobežojumus un tikai pēc tam seko nosacījumi ņemt vērā ceļu satiksmes intensitāti, transportlīdzekļa un kravas īpatnības un stāvokli, kā arī ceļa un meteoroloģiskos apstākļus (īpaši redzamību braukšanas virzienā). Rezultātā liela daļa vadītāju tieši noteiktos ierobežojumus uztver kā galveno vai pat vienīgo kritēriju, neņemot vērā, kas, turklāt, gandrīz vai obligāti ir jāievēro neatkarīgi no pārējiem faktoriem. Par to liecina gan dusmošanās par tiem braucējiem, kuri naktī un lietu uz slikti pārredzama ceļa nebrauc ar atļauto maksimālo ātrumu, kas pēc būtības ir paredzēts braukšanai gaišā dienas laikā uz sausa, labi pārredzama ceļa, kā arī tādi CSNg iekļuvušo autovadītāju izteicieni: “es braucu ar atļauto ātrumu” u.c.  Savukārt, ja Noteikumu 99.punkts paliek esošajā redakcijā, tad, iespējams, ir nepieciešama skaidrojoša kampaņa, kādiem apstākļiem ir paredzēts atļautais maksimālais ātrums.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Izvērtēt iespēju zīmē "Stāvvieta"(537.) norādīt vairāk informācijas par stāvēšanas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537.zīmes nosaukuma, tā regulē stāvēšanas nosacījumus, no kā izriet, ka, braukšanas laikā ir būtiski pamanīt, ka konkrētajā vietā ir stāvvieta, kur ir iespējams apstāties un pirms transportlīdzekļa novietošanas stāvēšanai, rūpīgāk iepazīties ar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vadītāju iepazīstināšanai ar stāvēšanas nosacījumiem tiek izmantotas papildzīmes, tādā veidā gan nevajadzīgi samazinot citām zīmēm atvēlēto telpu, gan sadalot vadītāju uzmanību, kā arī sadārdzinot satiksmes organizāciju, it īpaši pilsētvidē.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iekļaujot stāvēšanas nosacījumus pašā zīmē, vadītāji, kuriem stāvvieta konkrētajā gadījumā nav nepieciešama, varētu vairāk uzmanības veltīt tieši ar braukšanu saistītām ceļa zīmēm.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ieviest jaunu ceļa zīmi, kas norāda, ka pretī atrodas pretēja virziena vienvirziena ceļš.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Sākotnēji šim nolūkam tika ieviesta zīme “Iebraukt aizliegts” (301.), savukārt mūsdienās šo zīmi arvien plašāk izmanto kā “spēcīgāku alternatīvu” arī vietās, kur pēc sākotnējā mērķa vajadzētu būt zīmei "Braukt aizliegts" (302.). Līdz ar to vadītājam, atrodoties frontāli pret zīmi “Iebraukt aizliegts”, nav skaidrs vai pretī ir vienvirziena iela, kur iebraukšana ietver ļoti augstu CSNg risku, vai zīme uzstādīta citiem mērķiem. Būtiski ir arī tas, ka 2024.gadā Noteikumu 210.punkts ir papildināts ar 7.apakšpunktu, un 212.7 punkta 5.apakšpunktu, kuri atsevišķām mazāk aizsargāto satiksmes dalībnieku grupām (velosipēdu un skrejriteņu vadītājiem) aizliedz braukt pa pretējā virziena brauktuvi, kas uz vienvirziena ielas atrodas ne tikai ceļa kreisajā, bet arī labajā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Zīmes dizains varētu būt atvasināts no 301.zīmes ar nelielu, no gaišā laukuma izejošu, uz leju vērstu bultu vai cits.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iespēju papildzīmēs, kurās kopā ar kādu simbolu izmanto vārdu “Izņemot”, aizstāt to ar 330.zīmes simbolu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Iebraucējiem no citām valstīm rakstītie teksti nav saprotami.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cik pamatoti gadījumos, kad galvenā ceļa virziens mainās pa labi, ir 847.papildzīmi kombinēt ar 201. ceļa zīmi.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Gadījumos, kad galvenā ceļa virziens mainās pa labi, to norāda 847.papildzīme "Galvenā ceļa virziens". Savukārt 201. ceļa zīme norāda, ka transportlīdzeklis krustojumā atrodas priekšrocības pozīcijā pret šķērsojamo ceļu. Tomēr gadījumos, kad galvenā ceļa virziens mainās pa labi, taisni un pa kreisi braucošajiem transportlīdzekļiem nav priekšrocības pozīcija pret šķērsojamo ceļu. No tā izriet, ka gadījumos, ja šāda veida krustojumos 847.papildzīme jebkādu iemeslu dēļ nav redzama, 201. ceļa zīme var radīt maldinošu priekštatu par krustojuma izbraukšanas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pienākumam jābūt saistītam ar faktisko lietošanu, nevis īpašumtiesībām. Civiltiesiskā atbildība rodas tikai tad, ja persona ar savu rīcību nodara zaudējumus trešajai personai. Ja inventārs netiek lietots ceļu satiksmē, risks nerodas, un līdz ar to nav pamata prasīt obligātu apdrošināšanu sporta inventāram, kas netiek lietots. Vienlaikus sporta inventāram, kurš tiek lietots šāda apdrošināšana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Nereģistrētam inventāram nav iespējams pārbaudāmi fiksēt elektriskās piedziņas jaudu. Bez reģistrācijas sistēmas nav mehānisma, lai objektīvi noteiktu inventāra tehniskos parametrus (t.sk. jaudu), tāpat arī policijai nav objektīvu un ticamu līdzekļu, lai uz ielas pārbaudītu, vai inventāra jauda pārsniedz vai nepārsniedz noteikto slieksni. Sasaistot apdrošināšana pienākumu ar inventāra jaudu tas kļūst nepārbaudāms, jo tehniskie parametri nav reģistrēti un nav kontrolējami.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pienākuma sasaistīšana ar faktisko lietošanu (nevis ar īpašumtiesībām) ir risinājums, kas ir samērīgs un atbilst civiltiesiskās atbildības būtībai. Īpašnieka atbildības apdrošināšana nerisina situācijas, kur lietotājs nodara kaitējumu, bet inventāra īpašniekam nav nekādas faktiskas ietekmes vai kontroles pār notikumu. Savukārt piedāvātais risinājums ir identisks citām atbildības apdrošināšanām (piemēram, brīvā laika aktivitātēm), kas vienmēr tiek aktivizētas tikai lietošanas laikā, nevis balstoties uz mantas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regulē transportlīdzekļus, kas ir reģistrēti un piedalās satiksmē kā mehāniskie transportlīdzekļi. Sporta un atpūtas inventārs nav transportlīdzeklis Ceļu satiksmes likuma izpratnē un nav reģistrējams. Obligātās civiltiesiskās atbildības apdrošināšana šajā gadījumā nav OCTA alternatīva un nedrīkst tikt konceptuāli jaukta ar OCTA. OCTA ir balstīta uz transportlīdzekļa reģistrāciju, identifikāciju un nepārtrauktu saistību ar īpašnieku. Šajā gadījumā inventārs nav reģistrējams, tam nav identificējama īpašnieka reģistrā, kā arī inventārs var būt bieži mainīgos lietošanas režīmos (īre, koplietošana). Nereģistrēts inventārs neļauj administratīvi noteikt, kuram tieši būtu jāpiemēro “īpašnieka apdrošināšanas” pienākums. Tāpēc pienākumu var piemērot tikai personai, kas lieto inventāru, nevis saistīt to ar īpašumu kā OCTA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CSN nav praktiski sasaistāmi ar apbūves veidu vai telpisko struktūru. CSN regulē satiksmi, nevis teritorijas plānošanu. „Frontālās apbūves”, „labi pārskatāmas ietves” vai „piegulošās daļas” nav nedz definēti CSN, nedz satiksmes organizēšanā objektīvi izmērāmi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“tramvaja sliežu klātne” jau ir skaidri identificējams pēc būtības un infrastruktūras. Tramvaji ir speciāla sabiedriskā transporta kategorija, kas pārvietojas pa speciāli izbūvētu sliežu infrastruktūru. “Tramvaja sliežu klātne” nav abstrakts jēdziens — tas vienmēr ir fiziski redzams, identificējams un nepārprotams ceļa elements. Tādējādi papildus definīcija nedotu jaunu normatīvo skaidrību, atkārtotu acīmredzamu fizisko infrastruktūru, kā arī nerisinātu ceļu satiksmes jautājumus labāk nekā esošais formulējums.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Formulējums “no tās nenobraucot” jau pilnībā aptver situāciju pēc būtības. Piedāvātā redakcija paredz “pasažieru sabiedriskais transportlīdzeklis brauc pa tramvaja sliežu klātni, no tās nenobraucot”. Tas nozīmē, ka transportlīdzeklis turpina kustību pa sliežu joslu bez manevra uz blakus brauktuvi, tiek saglabāta priekšrocība tikai, kamēr tas tiešām atrodas sliežu klātnē, bet citos gadījumos priekšrocība  nepastāv. Norma pati par sevi ir konkrēta un tehniski nepārprotama, jo kritērijs balstīts uz faktu, nevis definīciju.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CSN un operatīvo transportlīdzekļu reģistrācijas regulējumā jau ir skaidri nošķirti divi līmeņi — transportlīdzekļa statuss un tā tiesības satiksmē. Operatīvā transportlīdzekļa statuss nepazūd, taču priekšrocības satiksmē tiek iegūtas tikai tad, ja ieslēgti speciālie gaismas un skaņas signāli, ko nosaka citi CSN punkti. Tādēļ Noteikumu 29. punkta papildināšana ar šādu norādi nav nepieciešama un neatbilst normu sistēmiskajai struktūrai. Bez ieslēgtām bākugunīm un skaņas signāla transportlīdzeklis piedalās satiksmē kā parasts transportlīdzeklis, neskatoties uz statusu.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ceļa zīmi "Apdzīvotas vietas sākums", par jaunu ceļa zīmi, kas norāda, ka pretī atrodas pretēja virziena vienvirziena ceļš, par papildzīmēm, kurās kopā ar kādu simbolu izmanto vārdu “Izņemot”, ir piemērojamā standarta par ceļazīmēm jautājums, nevis CSN jautājums.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Ceļu satiksmes noteikumu 247.punktam ceļa zīmēm Latvijā jāatbilst standartam LVS 77–1:2016 "Ceļa zīmes. 1. daļa: Ceļa zīmes", LVS 77-2:2016 "Ceļa zīmes. 2. daļa: Uzstādīšanas noteikumi" un LVS 77-3:2016 "Ceļa zīmes. 3. daļa: Tehniskās prasības". Informējam, ka šobrīd ir izstrādāts minētā standarta grozījumu projekts, kas pirms tā apstiprināšanas tiks nodots publiskai apspriešanai. Standartu projektu publiskā apspriešana Latvijā tiek organizēta vietnē https://viedoklis.lvs.lv/, kur ikviens interesents var iepazīties ar standarta projekta saturu un to komentēt.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99. punkta struktūra jau atbilst CSN sistēmiskajai loģikai. Vispirms tiek noteikts vispārējais ātruma ierobežojums – tiesiska robeža, kuru nedrīkst pārsniegt. Tikai pēc tam norādīti faktori, kas vadītājam jāņem vērā, izvēloties konkrēto drošo braukšanas ātrumu. Šāda struktūra atspoguļo Ceļu satiksmes likuma principus – maksimālie atļautie ātrumi ir noteikti tiesību normā, savukārt faktiskā ātruma izvēle ir vadītāja atbildība. Ja priekšplānā tiktu izvirzīti apstākļi, nevis normatīvie ierobežojumi, radītos iespaids, ka ātruma robežvērtības ir sekundāras vai interpretējamas. Tas var mazināt juridisko noteiktību un radīt strīdus par to, vai vadītājs drīkstētu pārsniegt normatīvo limitu, ja subjektīvi uzskata, ka apstākļi to pieļauj.</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847. papildzīmes kombinēšana ar 201. ceļa zīmi gadījumos, kad galvenā ceļa virziens mainās, ir pilnīgi pamatota un nepieciešama, lai nodrošinātu pilnīgu un viennozīmīgu informāciju autovadītājiem. Radītās bažas saistītas nevis ar sistēmu, bet ar uzturēšanas un redzamības problēmām, kuras jārisinās tehniskā un uzturēšanas līmenī, nevis mainot normatīvo regulējumu.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(LMA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2015. gada 2. jūnija noteikumos Nr. 279 "Ceļu satiksmes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Mobilitātes Asociācijas (turpmāk - LMA) un tās biedru mērķis ir veicināt mobilitātes pakalpojumu izplatību, kā arī uzlabot sabiedrības informētību un izpratni par tiem un to sniegtajām iespējām un ieguvumiem pilsētu transporta sistēmas uzlabošanā. LMA apzinās ceļu satiksmes drošības būtisko lomu un atbalsta mērķtiecīgus pasākumus tās uzlabošanai.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Grozījumos Ministru kabineta 2015. gada 2. jūnija noteikumos Nr. 279 "Ceļu satiksmes noteikumi" (turpmāk - grozījumi) anotācijā tiek uzsvērts, ka “šobrīd trūkst detalizētu noteikumu par velosipēdu un elektroskrejriteņu pārvietošanos pa ietvēm, gājēju ceļiem un pārejām, kas palielina sadursmju un traumatisma risku”. Tomēr, Autotransporta Profesionālās Kompetences centra pētījums “CSNg izpēte, kuros iesaistīti elektroskrejriteņi” (https://csdd.lv/petijumi/petijumi) liecina, ka Valsts policijā reģistrēto ceļu satiksmes negadījumu skaits, kuros iesaistīti elektroskrejriteņi, 2024. gadā ir samazinājies, salīdzinot ar 2023. gadu. Turklāt, Valsts policijas dati (https://lvportals.lv/skaidrojumi/376261-velosipedu-un-elektroskrejritenu-izmantosanas-nosacijumi-celu-satiksme-aktualais-regulejums-2025-gada-2025) par ceļu satiksmes negadījumiem ar cietušajiem liecina, ka kopš 2022.gada līdz 2024.gadam gadījumu skaits ar skrejriteņiem ir pakāpeniski samazinājies. Tas apliecina, ka nozares ieviestie pasākumi ir efektīvi, uzlabojot drošību.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Pieejamie dati liecina, ka aptuveni 63% elektrisko skrejriteņu Latvijā ir privātīpašumā (https://www.youtube.com/watch?v=wqh6FJYzHcQ). Tas nozīmē, ka piedāvātais vispārējais ātruma ierobežojums nesamērīgi ietekmē nomas pakalpojumu lietotājus, kamēr lielākā daļa skrejriteņu uz ielām lielā mērā paliek bez ierobežojumiem. Nomas pakalpojumi ir neatņemama, mūsdienīga, multimodāla transporta tīkla daļa. Koplietošanas pakalpojumu sniedzēji piedāvā ilgtspējīgu alternatīvu, kas samazina sastrēgumus un gaisa piesārņojumu. Taču, padarot transportlīdzekļus pietiekami lēnus, lai tie būtu piemēroti tikai īsiem braucieniem, pilsēta faktiski apdraud sabiedrībai jau pierādītu ieguvumu. Tā vietā, lai sodītu pakalpojuma sniedzējus un lietotājus, pilsētai būtu jāsadarbojas, lai ieviestu gudrus, mērķtiecīgus risinājumus drošības uzlabošanai tur, kur tas visvairāk nepieciešams, vienlaikus ļaujot elektriskajiem skrejriteņiem saglabāties kā pieejamam un ērtam pārvietošanās veidam. Šāda līdzsvarota pieeja nodrošina gājēju aizsardzību, veicina ilgtspējīgu mobilitāti un novērš tirgus nevienlīdzību, ko rada pašreizējais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plāno ieviest jaunu 15 km/h ātruma ierobežojumu elektroskrejriteņu vadītājiem, braucot pa ietvi vai kopīgo gājēju un velosipēdu ceļu. Tomēr, jau šobrīd spēkā esošie noteikumi nosaka, ka vadītājiem jāizvēlas tāds braukšanas ātrums, lai netiktu apdraudēti vai traucēti gājēji. Turklāt, Ceļu satiksmes likums jau paredz, ka “pašvaldība ir tiesīga noteikt koplietošanas transportlīdzekļu izmantošanas noteikumus, ātruma ierobežojuma zonas, novietošanas aizlieguma zonas, izvērtējot to sabiedrisko nepieciešamību un atbilstību drošības kritērijiem”. Pašvaldību noteikumi jau paredz ātruma ierobežojumus noteiktās zonās, piemēram, Rīgā, ņemot vērā drošības kritērijus un pilsētas plānojumu.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Ministrijas informatīvajā ziņojumā “Par valsts mikromobilitātes infrastruktūras attīstību”(https://tapportals.mk.gov.lv/legal_acts/7b32ef57-51ce-4447-b485-64c18ebdbb0b) tiek secināts, ka šobrīd pieejamā mikromobilitātes infrastruktūra nav pietiekama, lai būtiski uzlabotu satiksmes drošību un padarītu mikromobilitāti par plaši izmantotu pārvietošanās veidu valsts mērogā. Tādējādi ātruma ierobežojumu noteikšana, braucot pa ietvi vai kopīgo gājēju un velosipēdu ceļu, neatrisinātu šīs problēmas un varētu samazināt ilgtspējīgu transporta veidu izmantošanu. Šādi pasākumi var apdraudēt plašākus centienus samazināt transporta emisijas un atbalstīt pāreju uz ilgtspējīgākiem mobilitātes veidiem.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Latvijā nav izveidots pietiekams un drošs veloceļu tīkls, kas aptvertu galvenos pilsētu maršrutus. Līdz ar to lielākajā daļā ielu elektroskrejriteņu lietotājiem nav citas alternatīvas, kā pārvietoties pa ietvēm. Ja šādos apstākļos tiek noteikts maksimālais ātrums 15 km/h, tas kļūst ne tikai par drošības regulējumu gājēju zonās, bet faktiski par universālu ātruma ierobežojumu gandrīz visā pilsētā.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Grozījumu anotācijā nav sniegti salīdzinoši dati un nav izvērtēta starptautiskā prakse. Balstoties uz Eiropas Transporta drošības padomes (turpmāk - ETSC) datiem (https://etsc.eu/wp-content/uploads/ETSC_PINFLASH_47-Digital-V2_compressed.pdf) par ātruma ierobežojumiem elektroskrejriteņiem, 20 valstīs ir noteikts 25 km/h ierobežojums, bet 11 valstīs – 20 km/h ierobežojums. ETSC rekomendācijās tiek uzsvērta ģeogrāfi skās norobežošanas tehnoloģijas izmantošana, kas paredz noteiktu samazināto ātruma zonu izveidi pašvaldību līmenī. Kā minēts iepriekš, pašreizējā tiesiskajā regulējumā jau ir noteikts šāds modelis, kas ir pierādījis savu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LMA apzinās ceļu satiksmes drošības nozīmi un atbalstām mērķtiecīgus pasākumus, kas veicina ceļu satiksmes drošību. LMA atbalsta ierobežojumu salāgošanu ar ES līmeņa rekomendācijām un pašvaldību lomu ātruma ierobežojumu zonu noteikšanā, novērtējot to sabiedrisko nepieciešamību un atbilstību drošības kritērijiem. Esam atvērti diskusijām, lai dalītos pieredzē un rastu efektīvākos risinājumus.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LMA atzinumā norāda, ka pieejamie dati liecina, ka aptuveni 63% elektrisko skrejriteņu Latvijā ir privātīpašumā, līdz ar to piedāvātais vispārējais ātruma ierobežojums nesamērīgi ietekmē nomas pakalpojumu lietotājus, kamēr lielākā daļa skrejriteņu uz ielām lielā mērā paliek bez ierobežojumiem. Satiksmes ministrija vērš uzmanību, ka CSN noteiktais ātruma ierobežojums elektroskrejriteņiem uz ietves vai gājēju ceļa attiecināms uz visiem elektroskrejriteņiem neatkarīgi no piederības, līdz ar to nodrošina vienādus nosacījumus visiem mikromobilitātes rīku lietotājiem.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LMA sniegto informāciju, ka jau šobrīd spēkā esošie noteikumi nosaka, ka vadītājiem jāizvēlas tāds braukšanas ātrums, lai netiktu apdraudēti vai traucēti gājēji, Satiksmes ministrija vērš uzmanību, ka vidējais gājēju pārvietošanās ātrums ir 6 km/h, līdz ar to arī elektroskrejriteņa lietotājam būtu jāizvēlas šāds ātrums, lai neapdraudētu un netraucētu gājēju.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papildināms, ka ātruma ierobežojums noteikts, pamatojoties uz jau citos normatīvajos aktos, tostarp pašvaldību saistošajos noteikumos, noteikto 15 km/h ātrumu, lai vienādotu prasības visiem skrejriteņu lietotājiem un tiktu ievērots vienlīdzības princips.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2015. gada 2. jūnija noteikumos Nr. 279 "Ceļu satiksmes noteikumi"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(LTAB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8.punktā šobrīd noteikts, ka "Personai, kura pārvietojas, izmantojot monoriteņus, skrituļslidas, skrituļdēļus u. tml. sporta vai atpūtas inventāru, kas darbināmi ar elektrisko piedziņu, jābūt apdrošinātai personas civiltiesiskai atbildībai pret zaudējumiem, kas nodarīti trešajām personām."  Nav saprotams, vai personas civiltiesiskā atbildība būs jāapdrošina caur obligāto vai brīvprātīgo apdrošināšanu, jo šobrīd pastāv iespēja brīvprātīgā kārtā izvēlēties apdrošināt savu civiltiesisko atbildību. Apdrošinātāji piedāvā dažādus civiltiesiskās atbildības apdrošināšanas produktus, turklāt, ar dažādiem atbildības limitiem. Lūdzam precizēt anotāciju un sniegt detalizētu skaidrojumu par jaunās normas mērķi un piemērošanu praksē, par to, vai  tiek plānoti arī kontroles mehānismi.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pienākumam jābūt saistītam ar faktisko lietošanu, nevis īpašumtiesībām. Civiltiesiskā atbildība rodas tikai tad, ja persona ar savu rīcību nodara zaudējumus trešajai personai. Ja inventārs netiek lietots ceļu satiksmē, risks nerodas, un līdz ar to nav pamata prasīt obligātu apdrošināšanu sporta inventāram, kas netiek lietots. Vienlaikus sporta inventāram, kurš tie lietots šāda apdrošināšana ir obligāta.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pienākuma sasaistīšana ar faktisko lietošanu (nevis ar īpašumtiesībām) ir risinājums, kas ir samērīgs un atbilst civiltiesiskās atbildības būtībai. Īpašnieka atbildības apdrošināšana nerisina situācijas, kur lietotājs nodara kaitējumu, bet inventāra īpašniekam nav nekādas faktiskas ietekmes vai kontroles pār notikumu. Savukārt piedāvātais risinājums ir identisks citām atbildības apdrošināšanām (piemēram, brīvā laika aktivitātēm), kas vienmēr tiek aktivizētas tikai lietošanas laikā, nevis balstoties uz mantas īpašumtiesībām.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OCTA regulē transportlīdzekļus, kas ir reģistrēti un piedalās satiksmē kā mehāniskie transportlīdzekļi. Sporta un atpūtas inventārs nav transportlīdzeklis Ceļu satiksmes likuma izpratnē un nav reģistrējams. Obligātās civiltiesiskās atbildības apdrošināšana šajā gadījumā nav OCTA alternatīva un nedrīkst tikt konceptuāli jaukta ar OCTA. OCTA ir balstīta uz transportlīdzekļa reģistrāciju, identifikāciju un nepārtrauktu saistību ar īpašnieku. Šajā gadījumā inventārs nav reģistrējams, tam nav identificējama īpašnieka reģistrā, kā arī inventārs var būt bieži mainīgos lietošanas režīmos (īre, koplietošana). Nereģistrēts inventārs neļauj administratīvi noteikt, kuram tieši būtu jāpiemēro “īpašnieka apdrošināšanas” pienākums. Tāpēc pienākumu var piemērot tikai personai, kas lieto inventāru, nevis saistīt to ar īpašumu kā OCTA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Paredzētā civiltiesiskās atbildības apdrošināšana ir obligāts pienākums personai, kas pārvietojas ar elektrisko sporta un atpūtas inventāru. Tā nav mehānisko transportlīdzekļu obligātā apdrošināšana (OCTA), jo inventārs netiek reģistrēts un nav pielīdzināms transportlīdzekļiem.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prasība būtu izpildīta, polisei jāietver personas civiltiesiskā atbildība, darbības risks, kas saistīts ar elektrisko sporta un atpūtas inventāru (piemēram, elektriskie skrituļdēļi, monoriteņi utt.), atbildības limits atbilstoši apdrošinātāja noteiktajiem produktiem. Svarīgi precizēt, ka polisei ir jāaptver tieši šī konkrētā darbība, proti, pārvietošanās ar elektrisko sporta un atpūtas inventāru. Tas ir nepieciešams, lai nodrošinātu atbilstošu riska segumu un paredzētu zaudējumu atlīdzināšanu trešajām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Kontroles mehānisms tiek plānots līdzvērtīgs citiem administratīvajiem pienākumiem ceļu satiksmē. Policija un pašvaldības policija ir tiesīgi pieprasīt apdrošināšanas polises uzrādīšanu, polise var tikt uzrādīta digitālā vai fiziskā formā. Kontrole tiek veikta, kad persona piedalās ceļu satiksmē, nevis inventāram glabājoties ārpus tās. Tādējādi kontrole tiek balstīta uz faktisko lietošanu, nevis uz inventāra īpašumu vai reģistrāciju, kas šiem līdzekļiem nav piemērojama.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projektā "Grozījumi Ministru kabineta 2015. gada 2. jūnija noteikumos Nr. 279 "Ceļu satiksmes noteikumi"" (turpmāk – projekts) paredzētais Ministru kabineta 2015. gada 2. jūnija noteikumu Nr. 279 "Ceļu satiksmes noteikumi" (turpmāk – noteikumi) 8. punkts papildināts ar jaunu regulējumu, kas noteic, ka </w:t>
            </w:r>
            <w:r w:rsidR="00000000" w:rsidRPr="00000000" w:rsidDel="00000000">
              <w:rPr>
                <w:u w:val="single"/>
                <w:rtl w:val="0"/>
              </w:rPr>
              <w:t xml:space="preserve">personai, kura pārvietojas, izmantojot monoriteņus, skrituļslidas, skrituļdēļus u. tml. sporta vai atpūtas inventāru, kas darbināmi ar elektrisko piedziņu, jābūt apdrošinātai personas civiltiesiskai atbildībai pret zaudējumiem, kas nodarīti trešajām personām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1.3. apakšsadaļā ir norādīts tikai tas, ka </w:t>
            </w:r>
            <w:r w:rsidR="00000000" w:rsidRPr="00000000" w:rsidDel="00000000">
              <w:rPr>
                <w:u w:val="single"/>
                <w:rtl w:val="0"/>
              </w:rPr>
              <w:t xml:space="preserve">šobrīd nav paredzēta civiltiesiskās apdrošināšanas prasība šo sporta un atpūtas inventāra vadītājiem, kas rada finansiālu un drošības risku pārējiem satiksmes dalībniekiem, tādēļ tiek ieviesta prasība pēc civiltiesiskās apdrošināšanas, kas palielina atbildību un nodrošina atlīdzību negadījumu gadījumā, vienlaikus mazinot konfliktus ar citiem satiksmes dalībniekiem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anotācijas 1.3. apakšsadaļu ar izvērstu pamatojumu (t.sk., samērīguma izvērtējumu) par projektā paredzētajā noteikumu 8. punktā ietverto regulējumu. Turklāt lūdzam norādīt, kā tiks īstenots projektā paredzētais apdrošināšanas pienākums, ja, piemēram, persona, kas pārvietosies ar skrituļslidām, būs nepilngadīga, kā tiks veikta apdrošināšanas pienākuma izpildes uzraudzība u.tml.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Nepieciešamības gadījumā lūdzam precizēt arī projektā paredzētajā noteikumu 8. 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Fakts, ka sporta vai atpūtas elektrisko inventāru var lietot nepilngadīgas personas, nav šķērslis civiltiesiskās atbildības apdrošināšanas prasības piemērošanai. Nepilngadīgas personas parasti neuzņemas civiltiesiskās saistības patstāvīgi, un šādos gadījumos apdrošināšanu likumsakarīgi veic viņu vecāki vai likumiskie pārstāvji. Šāda prakse atbilst Civillikuma vispārējiem principiem par nepilngadīgo pārstāvību. Tādēļ apdrošināšanas pienākums netraucē un neliedz nepilngadīgajiem izmantot inventāru, bet nodrošina skaidru atbildības mehānismu gadījumā, ja tiek nodarīti zaudējumi trešajai personai.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Noteikumu 44.1.apakšpunktu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ar luksoforiem (1. pielikums), kuriem ir zaļas, dzeltenas, sarkanas un baltas gaismas signāli. Luksoforus izgatavo un uzstāda atbilstoši nozares standartiem;”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 apakšsadaļu ar informāciju, kas ir projektā paredzētajā noteikumu 44.1. apakšpunktā minētie </w:t>
            </w:r>
            <w:r w:rsidR="00000000" w:rsidRPr="00000000" w:rsidDel="00000000">
              <w:rPr>
                <w:u w:val="single"/>
                <w:rtl w:val="0"/>
              </w:rPr>
              <w:t xml:space="preserve">nozares standarti</w:t>
            </w:r>
            <w:r w:rsidR="00000000" w:rsidRPr="00000000" w:rsidDel="00000000">
              <w:rPr>
                <w:rtl w:val="0"/>
              </w:rPr>
              <w:t xml:space="preserve"> (proti, vai atbilstoši Standartizācijas likumā noteiktajam tie ir brīvprātīgi vai obligāti piemērojami u.tml.).</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Izteikt 44.1.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“44.1. ar luksoforiem (</w:t>
            </w:r>
            <w:r w:rsidR="00000000" w:rsidRPr="00000000" w:rsidDel="00000000">
              <w:rPr>
                <w:rtl w:val="0"/>
              </w:rPr>
              <w:t xml:space="preserve">1.pielikums</w:t>
            </w:r>
            <w:r w:rsidR="00000000" w:rsidRPr="00000000" w:rsidDel="00000000">
              <w:rPr>
                <w:rtl w:val="0"/>
              </w:rPr>
              <w:t xml:space="preserve">), kuriem ir zaļas, dzeltenas, sarkanas un baltas gaismas signāli. Luksoforus izgatavo un uzstāda atbilstoši nozares standartiem;”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98.punkta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projekts paredz svītrot noteikumu 8. punkta otro un trešo teikumu, kas cita starpā noteic pašvaldību tiesības pieņemt attiecīgus lēmumus, bet anotācijā nav informācijas, kādēļ šis regulējums nav nepieciešams, lūdzam papildināt anotācijas 1.3. apakšsadaļu ar atbilstošu pamatojumu.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Noteikumu 98.punktā attiecas tikai uz pirmo teikumu, kurš tiek izteikt jaunā redakcijā,  šādā redakcijā. 98. punkta otro un trešo teikumi netiek svītroti un saglabājas līdzšinējā, spēkā esošajā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98.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vadītājiem vai pasažieriem ir izsniegta invalīdu stāvvietu izmantošanas karte un kuriem ir speciāla pašvaldības izsniegta atļauja, kā arī specializētos tūristu transportlīdzekļus (izņemot pa ietvēm).”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Izteikt Noteikumu 98.punkta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kuriem ir speciāla pašvaldības izsniegta atļauja, kā arī specializētos tūristu transportlīdzekļus (izņemot pa ietvēm).”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paredzētais noteikumu 98. punkts noteic, ka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 vai pasažieri ir personas ar invaliditāti un </w:t>
            </w:r>
            <w:r w:rsidR="00000000" w:rsidRPr="00000000" w:rsidDel="00000000">
              <w:rPr>
                <w:u w:val="single"/>
                <w:rtl w:val="0"/>
              </w:rPr>
              <w:t xml:space="preserve">kuriem ir speciāla pašvaldības izsniegta atļauja</w:t>
            </w:r>
            <w:r w:rsidR="00000000" w:rsidRPr="00000000" w:rsidDel="00000000">
              <w:rPr>
                <w:rtl w:val="0"/>
              </w:rPr>
              <w:t xml:space="preserve">, kā arī specializētos tūristu transportlīdzekļus (izņemot pa ietvēm).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ir norādīts, ka </w:t>
            </w:r>
            <w:r w:rsidR="00000000" w:rsidRPr="00000000" w:rsidDel="00000000">
              <w:rPr>
                <w:u w:val="single"/>
                <w:rtl w:val="0"/>
              </w:rPr>
              <w:t xml:space="preserve">Ceļu satiksmes likumā jānosaka deleģējums pašvaldībām izsniegt īpašas atļaujas personām ar invaliditāti un kustību traucējumiem un personām ar I grupas redzes invaliditāti, kam ir piešķirta invalīdu stāvvietu izmantošanas karte</w:t>
            </w:r>
            <w:r w:rsidR="00000000" w:rsidRPr="00000000" w:rsidDel="00000000">
              <w:rPr>
                <w:rtl w:val="0"/>
              </w:rPr>
              <w:t xml:space="preserve">. Turklāt norādīts, ka noteikumu 98. punktā tiek veikti grozījumi, kas dos vairākas būtiskas priekšrocības iedzīvotājiem. Pirmkārt, </w:t>
            </w:r>
            <w:r w:rsidR="00000000" w:rsidRPr="00000000" w:rsidDel="00000000">
              <w:rPr>
                <w:u w:val="single"/>
                <w:rtl w:val="0"/>
              </w:rPr>
              <w:t xml:space="preserve">pašvaldību tiesības izsniegt īpašās atļaujas nodrošinās ātrāku un lokāli pielāgotu pakalpojumu, kas atbilst konkrētās vietas īpatnībām un iedzīvotāju vajadzībām</w:t>
            </w:r>
            <w:r w:rsidR="00000000" w:rsidRPr="00000000" w:rsidDel="00000000">
              <w:rPr>
                <w:rtl w:val="0"/>
              </w:rPr>
              <w:t xml:space="preserve">. Tas nozīmē, ka personas ar invaliditāti saņems ērtāku un efektīvāku piekļuvi, uzlabojot viņu ikdienas mobilitāti un dzīves kvalitāti. Otrkārt, šāda pieeja veicina vides pieejamības uzlabošanu pilsētvidē kopumā, padarot pilsētas telpu draudzīgāku visiem iedzīvotājiem, īpaši tiem ar kustību ierobežojumiem. Tāpat pašvaldību tuvums iedzīvotājiem ļauj nodrošināt labāku komunikāciju un atbalstu, kā arī ātrāku problēmu risināšanu.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anotācijā nav informācijas par to, vai ir izstrādāti grozījumi Ceļu satiksmes likumā, nosakot attiecīgu pilnvarojumu pašvaldības domēm izdot pašvaldību saistošos noteikumus.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uz to, ka </w:t>
            </w:r>
            <w:r w:rsidR="00000000" w:rsidRPr="00000000" w:rsidDel="00000000">
              <w:rPr>
                <w:u w:val="single"/>
                <w:rtl w:val="0"/>
              </w:rPr>
              <w:t xml:space="preserve">projektā paredzētais regulējums, proti, grozījumi noteikumu 98. punktā, nevar stāties spēkā pirms nav pieņemti attiecīgie grozījumi Ceļu satiksmes likumā un izdoti pašvaldību saistošie noteikumi. Attiecīgajiem pašvaldību saistošajiem noteikumiem, kā arī grozījumiem noteikumos un Ceļu satiksmes likumā būtu jāstājas spēkā vienlaikus, bet ne no projektā paredzētā regulējuma, ne no anotācijā ietvertās informācijas tas neizriet</w:t>
            </w:r>
            <w:r w:rsidR="00000000" w:rsidRPr="00000000" w:rsidDel="00000000">
              <w:rPr>
                <w:rtl w:val="0"/>
              </w:rPr>
              <w:t xml:space="preserve">. Ievērojot minēto, lūdzam izvērtēt projektā paredzētajā noteikumu 98. punktā noteikto un precizēt to, kā arī papildināt anotāciju ar atbilstošu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Ceļu satiksmes likuma 45.panta ceturtā daļa paredz deleģējumu pašvaldībām izsniegt personām ar invaliditāti īpašas atļaujas pārvietoties ar transportlīdzekli pa ietvēm, gājēju ceļiem, velosipēdu ceļiem, gājēju un velosipēdu ceļiem, kopīgiem gājēju un velosipēdu ceļiem.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Izteikt 98. punkta pirmo teikumu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 Pa ietvēm, gājēju ceļiem, velosipēdu ceļiem, gājēju un velosipēdu ceļiem, kopīgiem gājēju un velosipēdu ceļiem, kā arī velojoslām mehāniskajiem transportlīdzekļiem braukt aizliegts, izņemot ceļu uzturēšanas un komunālo dienestu (piemēram, elektroapgādes, siltumapgādes) transportlīdzekļus, ja tie veic ceļu uzturēšanas, remonta vai avārijas seku likvidēšanas darbus, transportlīdzekļus, kuru vadītājiem vai pasažieriem ir izsniegta invalīdu stāvvietu izmantošanas karte un kuriem ir speciāla pašvaldības izsniegta atļauja, kā arī specializētos tūristu transportlīdzekļus (izņemot pa ietvēm).”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1.punktā ir iekļauta prasība personai, kura pārvietojas, izmantojot monoriteņus, skrituļslidas, skrituļdēļus u. tml. sporta vai atpūtas inventāru, kas darbināmi ar elektrisko piedziņu, apdrošināt personas civiltiesisko atbildību pret zaudējumiem, kas nodarīti trešajām personām. Saistībā ar projekta 1. punktā iekļauto prasību lūdzam izvērtēt, vai ir nepieciešami grozījumi citos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Jaunā prasība par personas civiltiesiskās atbildības apdrošināšanu, pārvietojoties ar elektrisko sporta un atpūtas inventāru, neparedz jaunu apdrošināšanas veidu, bet ir piemērojama kā civiltiesiskās atbildības apdrošināšana Apdrošināšanas līguma likuma izpratnē.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likumā speciāli grozījumi “inventāra lietotāja civiltiesiskajai atbildībai” nav obligāti vajadzīgi – ar esošo regulējumu pilnīgi pietiek, lai ieviestu jaunu obligātu civiltiesiskās atbildības apdrošināšanu sporta / atpūtas inventāra lietošanai. To paredz speciālais normatīvais akts , savukārt esošais likums jau pilnībā aptver inventāra lietotāja civiltiesisko 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1. panta 8.pukta b) apakšpunkts nosaka, ka civiltiesiskās atbildības apdrošināšanā apdrošināšanas objekts ir personas civiltiesiskā atbildība. Likuma 1. panta 17.punkts definē civiltiesiskās atbildības apdrošināšanu kā “apdrošināšana, kad apdrošina personas civiltiesisko atbildību par tās darbības vai bezdarbības rezultātā radītajiem zaudējumiem trešai personai”. Tas atbilst situācijai, kad persona pārvietojas ar elektrisko inventāru un nodara kaitējumu trešajai personai. Tātad — nav jauna apdrošināšanas veida, ir tas pats klasiskās civiltiesiskās atbildības apdrošināšanas veids, tikai jaunā, speciālā normā tiek pateikts, ka tas šajā gadījumā ir obligāts.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izriet no Apdrošināšanas līguma likuma apdrošinājuma ņēmējs – tas, kas noslēdz līgumu (tas var būt pats lietotājs, vecāki, inventāra īpašnieks u. tml.), apdrošinātais – persona, kuras civiltiesiskā atbildība ir apdrošināta (šajā gadījumā – inventāra lietotājs, tai skaitā nepilngadīgais), bet apdrošināmā interese – ieinteresētība neciest zaudējumus, iestājoties riskam (tas ir tipiski civiltiesiskajai atbildībai). Tātad, arī nepilngadīgo gadījumā nav vajadzīga speciāla norma – viņu civiltiesisko atbildību var apdrošināt vecāki vai likumiskie pārstāvji kā apdrošinājuma ņēmēji.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Apdrošināšanas līguma likuma 8. panta trešā daļa tieši paredz situāciju, kad kāds cits normatīvais akts nosaka gadījumu, kad apdrošināšana ir obligāta: “Ja normatīvie akti paredz obligāto apdrošināšanu, apdrošināšanas līgumā ietver prasības, kas izriet no šiem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nozīmē nav jāgroza Apdrošināšanas līguma likums, pietiek, ka Ceļu satiksmes noteikumi nosaka prasību pēc apdrošināšanas, bet apdrošināšanas polisē ir precīzi noteikts, ka personai, kas pārvietojas ar elektrisko sporta / atpūtas inventāru ir noslēgts civiltiesiskās atbildības apdrošināšanas līgums attiecībā tieši uz šo darbību.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Noteikumu 8.punktu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monoriteņus, skrituļslidas, skrituļdēļus u. tml. sporta vai atpūtas inventāru, atļauts, ja tas netraucē citus ceļu satiksmes dalībniekus. Šķērsot brauktuvi ar šādu inventāru atļauts ar ātrumu, kas nepārsniedz gājēju pārvietošanās ātrumu. Personai, kura pārvietojas, izmantojot monoriteņus, skrituļslidas, skrituļdēļus u. tml. sporta vai atpūtas inventāru, kas darbināmi ar elektrisko piedziņu, jābūt apdrošinātai personas civiltiesiskai atbildībai pret zaudējumiem, kas nodarīti trešajām personām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šim noteikumos nav iekļauta sporta vai atpūtas inventāra definīcija, ierosinām papildināt noteikumos lietotos terminus ar jaunu punktu, iekļaujot skaidrojumu minētajam inventāram. Attīstoties tehnoloģijām, tirgus var tikt papildināts ar arvien jauniem pārvietošanās līdzekļiem, kas var novest pie pastāvīgas nepieciešamības koriģēt uzskaitījumu provizoriski vairākos noteikumu punktos. Sporta vai atpūtas inventāra, kas darbināmi ar elektrisko piedziņu, lietotāju civiltiesiskās atbildības apdrošināšana ir atbalstāma.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Noteikumu projekta anotācija papildināta.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noteikumus ar atsevišķu sporta vai atpūtas inventāra definīciju nav nepieciešams. Pašreizējā redakcijā noteikts konkrēts piemēru uzskaitījums (“monoriteņi, skrituļslidas, skrituļdēļi u. tml. sporta vai atpūtas inventārs”), ietverot norādi “un tamlīdzīgs” (“u. tml.”), kas jau ļauj elastīgi piemērot normu arī jaunām šīs kategorijas ierīcēm, kuras varētu parādīties tirgū nākotnē, ņemot vērā tehnoloģiju attīstību. Tas nodrošina pietiekami plašu un elastīgu regulējumu, ļaujot piemērot normu arī uz jauniem pārvietošanās līdzekļiem, kas varētu parādīties nākotnē, bez nepieciešamības pastāvīgi grozīt noteikumus. Tādējādi definīcija netiek noteikta, jo pašreizējais risinājums jau efektīvi aptver attiecīgo inventāru un nodrošina regulējuma atvērtību. Papildu definīcijas ieviešana terminoloģijas sadaļā prasītu vai nu atkārtot šos pašus piemērus, vai veidot plašāku abstraktu definīciju, kas faktiski nedotu lielāku skaidrību, bet gan radītu risku interpretācijas strīdiem. Līdz ar to uzskatāms, ka esošais formulējums, kur galvenie sporta un atpūtas inventāra veidi ir uzskaitīti un papildināti ar “u. tml.”, jau nodrošina pietiekami plašu un funkcionālu regulējumu, bez nepieciešamības grozīt noteikumos lietotos terminus.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 Izteikt 8.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Pārvietoties pa ietvi, gājēju ceļu, gājēju un velosipēdu ceļu, kopīgu gājēju un velosipēdu ceļu vai nomali, izmantojot sporta vai atpūtas inventāru (monoriteņus, skrituļslidas, skrituļdēļus u. tml.), atļauts, ja tas netraucē citus ceļu satiksmes dalībniekus. Šķērsot brauktuvi ar šādu inventāru atļauts ar ātrumu, kas nepārsniedz gājēju pārvietošanās ātrumu. Sporta vai atpūtas inventāra, kas darbināms ar elektrisko piedziņu, lietotājiem jāievēro šo noteikumu </w:t>
            </w:r>
            <w:r w:rsidR="00000000" w:rsidRPr="00000000" w:rsidDel="00000000">
              <w:rPr>
                <w:rtl w:val="0"/>
              </w:rPr>
              <w:t xml:space="preserve">200.</w:t>
            </w:r>
            <w:r w:rsidR="00000000" w:rsidRPr="00000000" w:rsidDel="00000000">
              <w:rPr>
                <w:rtl w:val="0"/>
              </w:rPr>
              <w:t xml:space="preserve"> (pamatpunktā), </w:t>
            </w:r>
            <w:r w:rsidR="00000000" w:rsidRPr="00000000" w:rsidDel="00000000">
              <w:rPr>
                <w:rtl w:val="0"/>
              </w:rPr>
              <w:t xml:space="preserve">200.2.</w:t>
            </w:r>
            <w:r w:rsidR="00000000" w:rsidRPr="00000000" w:rsidDel="00000000">
              <w:rPr>
                <w:rtl w:val="0"/>
              </w:rPr>
              <w:t xml:space="preserve">, </w:t>
            </w:r>
            <w:r w:rsidR="00000000" w:rsidRPr="00000000" w:rsidDel="00000000">
              <w:rPr>
                <w:rtl w:val="0"/>
              </w:rPr>
              <w:t xml:space="preserve">200.3.</w:t>
            </w:r>
            <w:r w:rsidR="00000000" w:rsidRPr="00000000" w:rsidDel="00000000">
              <w:rPr>
                <w:rtl w:val="0"/>
              </w:rPr>
              <w:t xml:space="preserve">, </w:t>
            </w:r>
            <w:r w:rsidR="00000000" w:rsidRPr="00000000" w:rsidDel="00000000">
              <w:rPr>
                <w:rtl w:val="0"/>
              </w:rPr>
              <w:t xml:space="preserve">200.4.</w:t>
            </w:r>
            <w:r w:rsidR="00000000" w:rsidRPr="00000000" w:rsidDel="00000000">
              <w:rPr>
                <w:rtl w:val="0"/>
              </w:rPr>
              <w:t xml:space="preserve">, </w:t>
            </w:r>
            <w:r w:rsidR="00000000" w:rsidRPr="00000000" w:rsidDel="00000000">
              <w:rPr>
                <w:rtl w:val="0"/>
              </w:rPr>
              <w:t xml:space="preserve">201</w:t>
            </w:r>
            <w:r w:rsidR="00000000" w:rsidRPr="00000000" w:rsidDel="00000000">
              <w:rPr>
                <w:rtl w:val="0"/>
              </w:rPr>
              <w:t xml:space="preserve">, </w:t>
            </w:r>
            <w:r w:rsidR="00000000" w:rsidRPr="00000000" w:rsidDel="00000000">
              <w:rPr>
                <w:rtl w:val="0"/>
              </w:rPr>
              <w:t xml:space="preserve">202.</w:t>
            </w:r>
            <w:r w:rsidR="00000000" w:rsidRPr="00000000" w:rsidDel="00000000">
              <w:rPr>
                <w:rtl w:val="0"/>
              </w:rPr>
              <w:t xml:space="preserve">, </w:t>
            </w:r>
            <w:r w:rsidR="00000000" w:rsidRPr="00000000" w:rsidDel="00000000">
              <w:rPr>
                <w:rtl w:val="0"/>
              </w:rPr>
              <w:t xml:space="preserve">204.</w:t>
            </w:r>
            <w:r w:rsidR="00000000" w:rsidRPr="00000000" w:rsidDel="00000000">
              <w:rPr>
                <w:rtl w:val="0"/>
              </w:rPr>
              <w:t xml:space="preserve">, </w:t>
            </w:r>
            <w:r w:rsidR="00000000" w:rsidRPr="00000000" w:rsidDel="00000000">
              <w:rPr>
                <w:rtl w:val="0"/>
              </w:rPr>
              <w:t xml:space="preserve">205.</w:t>
            </w:r>
            <w:r w:rsidR="00000000" w:rsidRPr="00000000" w:rsidDel="00000000">
              <w:rPr>
                <w:rtl w:val="0"/>
              </w:rPr>
              <w:t xml:space="preserve">, </w:t>
            </w:r>
            <w:r w:rsidR="00000000" w:rsidRPr="00000000" w:rsidDel="00000000">
              <w:rPr>
                <w:rtl w:val="0"/>
              </w:rPr>
              <w:t xml:space="preserve">206.</w:t>
            </w:r>
            <w:r w:rsidR="00000000" w:rsidRPr="00000000" w:rsidDel="00000000">
              <w:rPr>
                <w:rtl w:val="0"/>
              </w:rPr>
              <w:t xml:space="preserve">, </w:t>
            </w:r>
            <w:r w:rsidR="00000000" w:rsidRPr="00000000" w:rsidDel="00000000">
              <w:rPr>
                <w:rtl w:val="0"/>
              </w:rPr>
              <w:t xml:space="preserve">207.</w:t>
            </w:r>
            <w:r w:rsidR="00000000" w:rsidRPr="00000000" w:rsidDel="00000000">
              <w:rPr>
                <w:rtl w:val="0"/>
              </w:rPr>
              <w:t xml:space="preserve">, </w:t>
            </w:r>
            <w:r w:rsidR="00000000" w:rsidRPr="00000000" w:rsidDel="00000000">
              <w:rPr>
                <w:rtl w:val="0"/>
              </w:rPr>
              <w:t xml:space="preserve">211.</w:t>
            </w:r>
            <w:r w:rsidR="00000000" w:rsidRPr="00000000" w:rsidDel="00000000">
              <w:rPr>
                <w:rtl w:val="0"/>
              </w:rPr>
              <w:t xml:space="preserve">, </w:t>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 </w:t>
            </w:r>
            <w:r w:rsidR="00000000" w:rsidRPr="00000000" w:rsidDel="00000000">
              <w:rPr>
                <w:rtl w:val="0"/>
              </w:rPr>
              <w:t xml:space="preserve">212.</w:t>
            </w:r>
            <w:r w:rsidR="00000000" w:rsidRPr="00000000" w:rsidDel="00000000">
              <w:rPr>
                <w:vertAlign w:val="superscript"/>
                <w:rtl w:val="0"/>
              </w:rPr>
              <w:t xml:space="preserve">3</w:t>
            </w:r>
            <w:r w:rsidR="00000000" w:rsidRPr="00000000" w:rsidDel="00000000">
              <w:rPr>
                <w:rtl w:val="0"/>
              </w:rPr>
              <w:t xml:space="preserve"> un </w:t>
            </w:r>
            <w:r w:rsidR="00000000" w:rsidRPr="00000000" w:rsidDel="00000000">
              <w:rPr>
                <w:rtl w:val="0"/>
              </w:rPr>
              <w:t xml:space="preserve">212.</w:t>
            </w:r>
            <w:r w:rsidR="00000000" w:rsidRPr="00000000" w:rsidDel="00000000">
              <w:rPr>
                <w:vertAlign w:val="superscript"/>
                <w:rtl w:val="0"/>
              </w:rPr>
              <w:t xml:space="preserve">4</w:t>
            </w:r>
            <w:r w:rsidR="00000000" w:rsidRPr="00000000" w:rsidDel="00000000">
              <w:rPr>
                <w:sz w:val="20"/>
                <w:rtl w:val="0"/>
              </w:rPr>
              <w:t xml:space="preserve"> </w:t>
            </w:r>
            <w:r w:rsidR="00000000" w:rsidRPr="00000000" w:rsidDel="00000000">
              <w:rPr>
                <w:rtl w:val="0"/>
              </w:rPr>
              <w:t xml:space="preserve">(ciktāl to pieļauj atpūtas inventāra konstrukcija) </w:t>
            </w:r>
            <w:r w:rsidR="00000000" w:rsidRPr="00000000" w:rsidDel="00000000">
              <w:rPr>
                <w:rtl w:val="0"/>
              </w:rPr>
              <w:t xml:space="preserve">punktā</w:t>
            </w:r>
            <w:r w:rsidR="00000000" w:rsidRPr="00000000" w:rsidDel="00000000">
              <w:rPr>
                <w:rtl w:val="0"/>
              </w:rPr>
              <w:t xml:space="preserve"> minētās prasības.”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Izteikt Noteikumu 212.</w:t>
            </w:r>
            <w:r w:rsidR="00000000" w:rsidRPr="00000000" w:rsidDel="00000000">
              <w:rPr>
                <w:vertAlign w:val="superscript"/>
                <w:rtl w:val="0"/>
              </w:rPr>
              <w:t xml:space="preserve">1</w:t>
            </w:r>
            <w:r w:rsidR="00000000" w:rsidRPr="00000000" w:rsidDel="00000000">
              <w:rPr>
                <w:rtl w:val="0"/>
              </w:rPr>
              <w:t xml:space="preserve"> 3.apakšpunktu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r w:rsidR="00000000" w:rsidRPr="00000000" w:rsidDel="00000000">
              <w:rPr>
                <w:vertAlign w:val="superscript"/>
                <w:rtl w:val="0"/>
              </w:rPr>
              <w:t xml:space="preserve">1</w:t>
            </w:r>
            <w:r w:rsidR="00000000" w:rsidRPr="00000000" w:rsidDel="00000000">
              <w:rPr>
                <w:rtl w:val="0"/>
              </w:rPr>
              <w:t xml:space="preserve"> 3. braukt pa ietvi vai kopīgo gājēju un velosipēdu ceļu. Braucot pa ietvi vai kopīgo gājēju un velosipēdu ceļu, elektroskrejriteņu braukšanas ātrums nedrīkst pārsniegt 15 km/h, pie tam vadītājiem jāizvēlas tāds braukšanas ātrums, lai netiktu apdraudēti vai traucēti gājēji un, ja nepieciešams, jābrauc ar ātrumu, kas nepārsniedz gājēju pārvietošanās ātrumu. Elektroskrejriteņu vadītāji nedrīkst apdraudēt vai traucēt gājējus. Gājējiem, pārvietojoties pa ietvi vai kopīgo gājēju un velosipēdu ceļu, ir priekšroka. Braucot pa ietvi vai kopīgo gājēju un velosipēdu ceļu vietās, kur elektroskrejriteņu vadītāju braukšanas trajektorijas krustojas ar pārējo transportlīdzekļu braukšanas trajektorijām, elektroskrejriteņu vadītājiem jānovērtē attālums līdz transportlīdzekļiem, kas tuvojas, kā arī jānovērtē to braukšanas ātrums un jāpārliecinās par drošību;”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nepieciešamību ierobežot (aizliegt) elektroskrejriteņu braukšanu pa ietvi (ietves daļu) pasažieru sabiedrisko transportlīdzekļu pieturās laikā, kad notiek pasažieru izkāpšana un iekāpšana. Risks, ka elektroskrejriteņu vadītāji, braucot pa ietvi  pasažieru sabiedrisko transportlīdzekļu pieturās laikā, kad notiek pasažieru izkāpšana un iekāpšana, varētu apdraudēt vai traucēt gājējus, kas iekāpj vai izkāpj no pasažieru sabiedriskā transportlīdzekļa, ir augsts un šis risks pēc būtības ir novēršams, apturot elektroskrejriteni un turpinot ceļu kā gājējam, stumjot elektroskrejriteni.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Gājējiem jau ir absolūta priekšroka pieturvietā (CSN 212</w:t>
            </w:r>
            <w:r w:rsidR="00000000" w:rsidRPr="00000000" w:rsidDel="00000000">
              <w:rPr>
                <w:vertAlign w:val="superscript"/>
                <w:rtl w:val="0"/>
              </w:rPr>
              <w:t xml:space="preserve">2</w:t>
            </w:r>
            <w:r w:rsidR="00000000" w:rsidRPr="00000000" w:rsidDel="00000000">
              <w:rPr>
                <w:rtl w:val="0"/>
              </w:rPr>
              <w:t xml:space="preserve">.punkts). Normatīvajos aktos skaidri noteikts, ka gājējam uz ietves un gājēju zonā ir priekšroka jebkurā situācijā, tai skaitā pieturvietas tuvumā. Elektroskrejriteņa vadītājs jau šobrīd drīkst braukt tikai tādā ātrumā un veidā, kas netraucē gājējus. Tādēļ papildu aizliegums būtu normatīvo prasību dublēšana, nevis jauns regulējums.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Pieturvietai praksē nav skaidri norobežojamas robežas. Sabiedriskā transporta pieturas bieži vien nav aprīkotas ar norobežojošām zīmēm, barjerām vai citām metodēm, kas precīzi noteiktu “pieturas zonu”. Tas nozīmē, ka aizliegums būtu praktiski nepiemērojams, radot interpretācijas riskus gan lietotājiem, gan kontrolējošām iestādēm.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Pašreizējais regulējums jau nodrošina pietiekamu kontroli.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Elektroskrejriteņu vadītājiem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izvēlēties drošu ātrumu,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dot priekšroku gājējiem,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neapdraudēt personas, kas iekāpj vai izkāpj no sabiedriskā transporta.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papildu aizliegums neatrisinātu jaunu problēmu, bet palielinātu normatīvo aktu sarežģītību.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Izteikt Noteikumu 285.27.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“285.27. 849. papildzīme "Pārējā papildinformācija". Norāda informāciju, ko nesatur pārējās papildzīmes;”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- 17.09.2025.)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servisa zīmes Nr.621 "Ceļu policija" lietošana ir zaudējusi aktualitāti, papildināt projektu, lai svītrotu Noteikumu 280.21.apakšpunktu, kā arī svītrotu attiecīgo ceļa zīmi no Noteikumu 4.pielikuma.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Daļēji ņemts vērā. Priekšlikums izvērtēts.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šobrīd ir izstrādāts grozījumu projekts izmaiņām Latvijas standartā  LVS 77 “Ceļa zīmes” 1., 2. un 3. daļa. Cita starpā grozījumi paredz arī 621.ceļa zīmes izņemšanu no standarta un attiecīgi no Ceļu satiksmes noteikumiem. Ņemot vērā, ka grozījumi standartā LVS 77 paredz vairākas izmaiņas saistībā ar ceļa zīmēm, uzskatām, ka lietderīgi visus grozījumus Ceļu satiksmes noteikumos virzīt kompleksi, pēc LVS 77 grozījumu apstiprināšanas. LVS 77 grozījumu projekts šobrīd ir  iesniegts izvērtēšanai Standartizācijas tehniskajai komitejai Nr.15 “Autoceļi”.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Izteikt 285.27. 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“285.27. 849. papildzīme "Pārējā papildinformācija". Norāda informāciju, ko nesatur pārējās papildzīmes;”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25-TA-1583</w:t>
    </w:r>
    <w:r>
      <w:br/>
    </w:r>
    <w:r w:rsidR="00000000" w:rsidRPr="00000000" w:rsidDel="00000000">
      <w:rPr>
        <w:rtl w:val="0"/>
      </w:rPr>
      <w:t xml:space="preserve">17.03.2026. 15.45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25-TA-1583</w:t>
    </w:r>
    <w:r>
      <w:br/>
    </w:r>
    <w:r w:rsidR="00000000" w:rsidRPr="00000000" w:rsidDel="00000000">
      <w:rPr>
        <w:rtl w:val="0"/>
      </w:rPr>
      <w:t xml:space="preserve">17.03.2026. 15.45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Izziņa_25-TA-1583.docx</dc:title>
</cp:coreProperties>
</file>

<file path=docProps/custom.xml><?xml version="1.0" encoding="utf-8"?>
<Properties xmlns="http://schemas.openxmlformats.org/officeDocument/2006/custom-properties" xmlns:vt="http://schemas.openxmlformats.org/officeDocument/2006/docPropsVTypes"/>
</file>