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41"/>
        <w:gridCol w:w="4004"/>
      </w:tblGrid>
      <w:tr w:rsidR="00B1156E" w14:paraId="7F868E47" w14:textId="77777777" w:rsidTr="00CF1CEA">
        <w:trPr>
          <w:trHeight w:val="851"/>
        </w:trPr>
        <w:tc>
          <w:tcPr>
            <w:tcW w:w="5637" w:type="dxa"/>
            <w:hideMark/>
          </w:tcPr>
          <w:p w14:paraId="332F3C1B" w14:textId="77777777" w:rsidR="00064AA3" w:rsidRDefault="003A7678" w:rsidP="00CF1CEA">
            <w:pPr>
              <w:pStyle w:val="BodyB"/>
              <w:tabs>
                <w:tab w:val="left" w:pos="6237"/>
              </w:tabs>
              <w:ind w:left="-100"/>
              <w:rPr>
                <w:rFonts w:cs="Times New Roman"/>
              </w:rPr>
            </w:pPr>
            <w:r>
              <w:rPr>
                <w:rFonts w:cs="Times New Roman"/>
              </w:rPr>
              <w:t>Rīgā</w:t>
            </w:r>
          </w:p>
          <w:p w14:paraId="3621A5F6" w14:textId="77777777" w:rsidR="00064AA3" w:rsidRDefault="003A7678" w:rsidP="00CF1CEA">
            <w:pPr>
              <w:pStyle w:val="BodyB"/>
              <w:tabs>
                <w:tab w:val="left" w:pos="6237"/>
              </w:tabs>
              <w:ind w:left="-100"/>
              <w:rPr>
                <w:rFonts w:cs="Times New Roman"/>
              </w:rPr>
            </w:pPr>
            <w:r>
              <w:rPr>
                <w:rFonts w:cs="Times New Roman"/>
                <w:noProof/>
              </w:rPr>
              <w:t>Datums skatāms laika zīmogā</w:t>
            </w:r>
            <w:r>
              <w:rPr>
                <w:rFonts w:cs="Times New Roman"/>
              </w:rPr>
              <w:t>. Nr.</w:t>
            </w:r>
            <w:r>
              <w:rPr>
                <w:rFonts w:cs="Times New Roman"/>
                <w:noProof/>
              </w:rPr>
              <w:t>4-7-1/3164</w:t>
            </w:r>
          </w:p>
          <w:p w14:paraId="43E89327" w14:textId="77777777" w:rsidR="00064AA3" w:rsidRDefault="003A7678" w:rsidP="00CF1CEA">
            <w:pPr>
              <w:pStyle w:val="BodyB"/>
              <w:tabs>
                <w:tab w:val="left" w:pos="6237"/>
              </w:tabs>
              <w:ind w:left="-100"/>
              <w:rPr>
                <w:rFonts w:cs="Times New Roman"/>
              </w:rPr>
            </w:pPr>
            <w:r>
              <w:rPr>
                <w:rFonts w:cs="Times New Roman"/>
              </w:rPr>
              <w:t>Uz  02.08.2021. Nr. 3.3-8/2021/5804N</w:t>
            </w:r>
          </w:p>
        </w:tc>
        <w:tc>
          <w:tcPr>
            <w:tcW w:w="4002" w:type="dxa"/>
          </w:tcPr>
          <w:p w14:paraId="4C620F44" w14:textId="77777777" w:rsidR="00064AA3" w:rsidRDefault="00064AA3" w:rsidP="00CF1CEA">
            <w:pPr>
              <w:pStyle w:val="BodyB"/>
              <w:rPr>
                <w:rFonts w:cs="Times New Roman"/>
              </w:rPr>
            </w:pPr>
          </w:p>
          <w:p w14:paraId="68F08435" w14:textId="77777777" w:rsidR="00064AA3" w:rsidRDefault="00064AA3" w:rsidP="00CF1CEA">
            <w:pPr>
              <w:pStyle w:val="BodyB"/>
              <w:rPr>
                <w:rFonts w:cs="Times New Roman"/>
              </w:rPr>
            </w:pPr>
          </w:p>
          <w:p w14:paraId="6E0CE3A8" w14:textId="77777777" w:rsidR="00064AA3" w:rsidRDefault="00064AA3" w:rsidP="00CF1CEA">
            <w:pPr>
              <w:pStyle w:val="BodyB"/>
              <w:rPr>
                <w:rFonts w:cs="Times New Roman"/>
              </w:rPr>
            </w:pPr>
          </w:p>
        </w:tc>
      </w:tr>
      <w:tr w:rsidR="00B1156E" w14:paraId="47C93903" w14:textId="77777777" w:rsidTr="00CF1CEA">
        <w:trPr>
          <w:trHeight w:val="310"/>
        </w:trPr>
        <w:tc>
          <w:tcPr>
            <w:tcW w:w="5637" w:type="dxa"/>
          </w:tcPr>
          <w:p w14:paraId="680D2982" w14:textId="77777777" w:rsidR="00064AA3" w:rsidRDefault="00064AA3" w:rsidP="00CF1CEA">
            <w:pPr>
              <w:pStyle w:val="BodyB"/>
              <w:tabs>
                <w:tab w:val="left" w:pos="6237"/>
              </w:tabs>
              <w:rPr>
                <w:rFonts w:cs="Times New Roman"/>
              </w:rPr>
            </w:pPr>
          </w:p>
        </w:tc>
        <w:tc>
          <w:tcPr>
            <w:tcW w:w="4002" w:type="dxa"/>
            <w:hideMark/>
          </w:tcPr>
          <w:p w14:paraId="5BFE59D5" w14:textId="77777777" w:rsidR="00064AA3" w:rsidRDefault="003A7678" w:rsidP="00CF1CEA">
            <w:pPr>
              <w:pStyle w:val="BodyB"/>
              <w:rPr>
                <w:rFonts w:cs="Times New Roman"/>
              </w:rPr>
            </w:pPr>
            <w:r>
              <w:rPr>
                <w:rFonts w:cs="Times New Roman"/>
                <w:noProof/>
              </w:rPr>
              <w:t>Ekonomikas ministrija</w:t>
            </w:r>
            <w:r w:rsidR="009807EC">
              <w:rPr>
                <w:rFonts w:cs="Times New Roman"/>
                <w:noProof/>
              </w:rPr>
              <w:t>i</w:t>
            </w:r>
          </w:p>
        </w:tc>
      </w:tr>
      <w:tr w:rsidR="00B1156E" w14:paraId="61434207" w14:textId="77777777" w:rsidTr="00CF1CEA">
        <w:trPr>
          <w:trHeight w:val="310"/>
        </w:trPr>
        <w:tc>
          <w:tcPr>
            <w:tcW w:w="5637" w:type="dxa"/>
          </w:tcPr>
          <w:p w14:paraId="0D9D12DE" w14:textId="77777777" w:rsidR="00064AA3" w:rsidRDefault="00064AA3" w:rsidP="00CF1CEA">
            <w:pPr>
              <w:pStyle w:val="BodyB"/>
              <w:tabs>
                <w:tab w:val="left" w:pos="6237"/>
              </w:tabs>
              <w:rPr>
                <w:rFonts w:cs="Times New Roman"/>
              </w:rPr>
            </w:pPr>
          </w:p>
        </w:tc>
        <w:tc>
          <w:tcPr>
            <w:tcW w:w="4002" w:type="dxa"/>
            <w:hideMark/>
          </w:tcPr>
          <w:p w14:paraId="5DE97BE7" w14:textId="77777777" w:rsidR="00064AA3" w:rsidRDefault="003A7678" w:rsidP="00CF1CEA">
            <w:pPr>
              <w:pStyle w:val="BodyB"/>
              <w:rPr>
                <w:rFonts w:cs="Times New Roman"/>
              </w:rPr>
            </w:pPr>
            <w:r>
              <w:rPr>
                <w:rFonts w:cs="Times New Roman"/>
                <w:noProof/>
              </w:rPr>
              <w:t>Brīvības iela 55, Rīga, LV-1010</w:t>
            </w:r>
          </w:p>
        </w:tc>
      </w:tr>
      <w:tr w:rsidR="00B1156E" w14:paraId="62B41B44" w14:textId="77777777" w:rsidTr="00CF1CEA">
        <w:trPr>
          <w:trHeight w:val="310"/>
        </w:trPr>
        <w:tc>
          <w:tcPr>
            <w:tcW w:w="5637" w:type="dxa"/>
          </w:tcPr>
          <w:p w14:paraId="6C490312" w14:textId="77777777" w:rsidR="00064AA3" w:rsidRDefault="00064AA3" w:rsidP="00CF1CEA">
            <w:pPr>
              <w:pStyle w:val="BodyB"/>
              <w:tabs>
                <w:tab w:val="left" w:pos="6237"/>
              </w:tabs>
              <w:rPr>
                <w:rFonts w:cs="Times New Roman"/>
              </w:rPr>
            </w:pPr>
          </w:p>
        </w:tc>
        <w:tc>
          <w:tcPr>
            <w:tcW w:w="4002" w:type="dxa"/>
            <w:hideMark/>
          </w:tcPr>
          <w:p w14:paraId="4807C565" w14:textId="77777777" w:rsidR="00064AA3" w:rsidRPr="008C3BBA" w:rsidRDefault="00034012" w:rsidP="00CF1CEA">
            <w:pPr>
              <w:pStyle w:val="BodyB"/>
              <w:rPr>
                <w:rFonts w:cs="Times New Roman"/>
                <w:noProof/>
                <w:color w:val="auto"/>
              </w:rPr>
            </w:pPr>
            <w:hyperlink r:id="rId6" w:history="1">
              <w:r w:rsidR="008C3BBA" w:rsidRPr="008C3BBA">
                <w:rPr>
                  <w:rStyle w:val="Hyperlink"/>
                  <w:rFonts w:cs="Times New Roman"/>
                  <w:noProof/>
                  <w:color w:val="auto"/>
                  <w:u w:val="none"/>
                </w:rPr>
                <w:t>pasts@em.gov.lv</w:t>
              </w:r>
            </w:hyperlink>
          </w:p>
          <w:p w14:paraId="6D2C9745" w14:textId="77777777" w:rsidR="008C3BBA" w:rsidRPr="008C3BBA" w:rsidRDefault="003A7678" w:rsidP="00CF1CEA">
            <w:pPr>
              <w:pStyle w:val="BodyB"/>
              <w:rPr>
                <w:rFonts w:cs="Times New Roman"/>
                <w:color w:val="auto"/>
              </w:rPr>
            </w:pPr>
            <w:r w:rsidRPr="008C3BBA">
              <w:rPr>
                <w:rFonts w:cs="Times New Roman"/>
                <w:color w:val="auto"/>
              </w:rPr>
              <w:t>inese.karpovica@em.gov.lv</w:t>
            </w:r>
          </w:p>
        </w:tc>
      </w:tr>
    </w:tbl>
    <w:p w14:paraId="3286DA71" w14:textId="77777777" w:rsidR="00064AA3" w:rsidRDefault="00064AA3" w:rsidP="00064AA3">
      <w:pPr>
        <w:pStyle w:val="BodyB"/>
        <w:rPr>
          <w:rFonts w:cs="Times New Roman"/>
        </w:rPr>
      </w:pPr>
    </w:p>
    <w:p w14:paraId="7A76F99D" w14:textId="77777777" w:rsidR="00064AA3" w:rsidRDefault="00064AA3" w:rsidP="00064AA3">
      <w:pPr>
        <w:pStyle w:val="Default"/>
        <w:jc w:val="both"/>
        <w:rPr>
          <w:rFonts w:ascii="Times New Roman" w:hAnsi="Times New Roman" w:cs="Times New Roman"/>
          <w:sz w:val="24"/>
          <w:szCs w:val="24"/>
        </w:rPr>
      </w:pPr>
    </w:p>
    <w:p w14:paraId="4152F0B3" w14:textId="77777777" w:rsidR="00064AA3" w:rsidRDefault="003A7678" w:rsidP="00064AA3">
      <w:pPr>
        <w:pStyle w:val="Default"/>
        <w:rPr>
          <w:rFonts w:ascii="Times New Roman" w:hAnsi="Times New Roman" w:cs="Times New Roman"/>
          <w:sz w:val="24"/>
          <w:szCs w:val="24"/>
        </w:rPr>
      </w:pPr>
      <w:r>
        <w:rPr>
          <w:rFonts w:ascii="Times New Roman" w:hAnsi="Times New Roman" w:cs="Times New Roman"/>
          <w:noProof/>
          <w:sz w:val="24"/>
          <w:szCs w:val="24"/>
        </w:rPr>
        <w:t>Par likumprojektu “Grozījumi Enerģētikas likumā” (VSS-307)</w:t>
      </w:r>
    </w:p>
    <w:p w14:paraId="25E8D5D3" w14:textId="77777777" w:rsidR="00064AA3" w:rsidRDefault="00064AA3" w:rsidP="00064AA3">
      <w:pPr>
        <w:pStyle w:val="Default"/>
        <w:jc w:val="both"/>
        <w:rPr>
          <w:rFonts w:ascii="Times New Roman" w:hAnsi="Times New Roman" w:cs="Times New Roman"/>
          <w:sz w:val="24"/>
          <w:szCs w:val="24"/>
        </w:rPr>
      </w:pPr>
    </w:p>
    <w:p w14:paraId="705FCE79" w14:textId="77777777" w:rsidR="008C3BBA" w:rsidRDefault="003A7678" w:rsidP="008C3BBA">
      <w:pPr>
        <w:pStyle w:val="Default"/>
        <w:ind w:firstLine="720"/>
        <w:jc w:val="both"/>
        <w:rPr>
          <w:rFonts w:ascii="Times New Roman" w:hAnsi="Times New Roman" w:cs="Times New Roman"/>
          <w:sz w:val="24"/>
          <w:szCs w:val="24"/>
          <w:lang w:val="lv-LV"/>
        </w:rPr>
      </w:pPr>
      <w:r w:rsidRPr="005B237C">
        <w:rPr>
          <w:rFonts w:ascii="Times New Roman" w:hAnsi="Times New Roman" w:cs="Times New Roman"/>
          <w:sz w:val="24"/>
          <w:szCs w:val="24"/>
          <w:lang w:val="lv-LV"/>
        </w:rPr>
        <w:t>Akciju sabiedrība “</w:t>
      </w:r>
      <w:proofErr w:type="spellStart"/>
      <w:r w:rsidRPr="005B237C">
        <w:rPr>
          <w:rFonts w:ascii="Times New Roman" w:hAnsi="Times New Roman" w:cs="Times New Roman"/>
          <w:sz w:val="24"/>
          <w:szCs w:val="24"/>
          <w:lang w:val="lv-LV"/>
        </w:rPr>
        <w:t>Gaso</w:t>
      </w:r>
      <w:proofErr w:type="spellEnd"/>
      <w:r w:rsidRPr="005B237C">
        <w:rPr>
          <w:rFonts w:ascii="Times New Roman" w:hAnsi="Times New Roman" w:cs="Times New Roman"/>
          <w:sz w:val="24"/>
          <w:szCs w:val="24"/>
          <w:lang w:val="lv-LV"/>
        </w:rPr>
        <w:t xml:space="preserve">” (turpmāk – </w:t>
      </w:r>
      <w:proofErr w:type="spellStart"/>
      <w:r w:rsidRPr="005B237C">
        <w:rPr>
          <w:rFonts w:ascii="Times New Roman" w:hAnsi="Times New Roman" w:cs="Times New Roman"/>
          <w:sz w:val="24"/>
          <w:szCs w:val="24"/>
          <w:lang w:val="lv-LV"/>
        </w:rPr>
        <w:t>Gaso</w:t>
      </w:r>
      <w:proofErr w:type="spellEnd"/>
      <w:r w:rsidRPr="005B237C">
        <w:rPr>
          <w:rFonts w:ascii="Times New Roman" w:hAnsi="Times New Roman" w:cs="Times New Roman"/>
          <w:sz w:val="24"/>
          <w:szCs w:val="24"/>
          <w:lang w:val="lv-LV"/>
        </w:rPr>
        <w:t xml:space="preserve">) izvērtējusi Ekonomikas ministrijas </w:t>
      </w:r>
      <w:r>
        <w:rPr>
          <w:rFonts w:ascii="Times New Roman" w:hAnsi="Times New Roman" w:cs="Times New Roman"/>
          <w:sz w:val="24"/>
          <w:szCs w:val="24"/>
          <w:lang w:val="lv-LV"/>
        </w:rPr>
        <w:t>2021.gada 3.augustā atsūtīto precizēto</w:t>
      </w:r>
      <w:r w:rsidRPr="005B237C">
        <w:rPr>
          <w:rFonts w:ascii="Times New Roman" w:hAnsi="Times New Roman" w:cs="Times New Roman"/>
          <w:sz w:val="24"/>
          <w:szCs w:val="24"/>
          <w:lang w:val="lv-LV"/>
        </w:rPr>
        <w:t xml:space="preserve"> likumprojektu “Grozījumi Enerģētikas likumā” un par tā saturu izsaka šādus iebildumus un priekšlikumus:</w:t>
      </w:r>
    </w:p>
    <w:p w14:paraId="2680FB75"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1. Likumprojektā ir paredzēts papildināt Enerģētikas likumu (turpmāk – Likums) ar vairākām normām, kas saistītas ar pakalpojuma tarifa aprēķināšanu, piemēram, tiek skaidroti termiņi “atļautie ieņēmumi” (1.panta 1.</w:t>
      </w:r>
      <w:r>
        <w:rPr>
          <w:rFonts w:ascii="Times New Roman" w:hAnsi="Times New Roman" w:cs="Times New Roman"/>
          <w:sz w:val="24"/>
          <w:szCs w:val="24"/>
          <w:vertAlign w:val="superscript"/>
          <w:lang w:val="lv-LV"/>
        </w:rPr>
        <w:t>8</w:t>
      </w:r>
      <w:r>
        <w:rPr>
          <w:rFonts w:ascii="Times New Roman" w:hAnsi="Times New Roman" w:cs="Times New Roman"/>
          <w:sz w:val="24"/>
          <w:szCs w:val="24"/>
          <w:lang w:val="lv-LV"/>
        </w:rPr>
        <w:t> punkts), “regulatīvais konts” (1.panta 34.</w:t>
      </w:r>
      <w:r>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punkts), “regulatīvais periods” (1.panta 34.</w:t>
      </w:r>
      <w:r>
        <w:rPr>
          <w:rFonts w:ascii="Times New Roman" w:hAnsi="Times New Roman" w:cs="Times New Roman"/>
          <w:sz w:val="24"/>
          <w:szCs w:val="24"/>
          <w:vertAlign w:val="superscript"/>
          <w:lang w:val="lv-LV"/>
        </w:rPr>
        <w:t>2 </w:t>
      </w:r>
      <w:r>
        <w:rPr>
          <w:rFonts w:ascii="Times New Roman" w:hAnsi="Times New Roman" w:cs="Times New Roman"/>
          <w:sz w:val="24"/>
          <w:szCs w:val="24"/>
          <w:lang w:val="lv-LV"/>
        </w:rPr>
        <w:t>punkts), “tarifu piemērošanas periods” (1.panta 46.</w:t>
      </w:r>
      <w:r>
        <w:rPr>
          <w:rFonts w:ascii="Times New Roman" w:hAnsi="Times New Roman" w:cs="Times New Roman"/>
          <w:sz w:val="24"/>
          <w:szCs w:val="24"/>
          <w:vertAlign w:val="superscript"/>
          <w:lang w:val="lv-LV"/>
        </w:rPr>
        <w:t>1 </w:t>
      </w:r>
      <w:r>
        <w:rPr>
          <w:rFonts w:ascii="Times New Roman" w:hAnsi="Times New Roman" w:cs="Times New Roman"/>
          <w:sz w:val="24"/>
          <w:szCs w:val="24"/>
          <w:lang w:val="lv-LV"/>
        </w:rPr>
        <w:t>punkts).</w:t>
      </w:r>
    </w:p>
    <w:p w14:paraId="3D3B88F4" w14:textId="77777777" w:rsidR="008C3BBA" w:rsidRDefault="003A7678" w:rsidP="008C3BBA">
      <w:pPr>
        <w:pStyle w:val="Default"/>
        <w:ind w:firstLine="709"/>
        <w:jc w:val="both"/>
        <w:rPr>
          <w:rFonts w:ascii="Times New Roman" w:hAnsi="Times New Roman" w:cs="Times New Roman"/>
          <w:sz w:val="24"/>
          <w:szCs w:val="24"/>
          <w:lang w:val="lv-LV"/>
        </w:rPr>
      </w:pP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nevar piekrist šāda regulējuma iekļaušanai Likumā, jo:</w:t>
      </w:r>
    </w:p>
    <w:p w14:paraId="3001BD20"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Pirmkārt, pakalpojuma tarifa aprēķināšanas jautājumu regulēšana neatbilst Likuma 2.pantā noteiktajam mērķim, tas ir šo jautājumu risināšana neietilpst Likuma regulējuma tvērumā. Līdzšinējā praksē tarifikācijas jautājumi tiek regulēti ar Sabiedrisko pakalpojumu regulēšanas komisijas izdotajiem normatīviem aktiem un lēmumiem, kas rada iespēju operatīvi pielāgot regulējumu enerģētikas tirgus mainīgajai videi. Daļēji noregulējot tarifikācijas jautājumus ar Likumu tiks ierobežota regulējuma elastība un tiks radīta nepamatota regulējuma sadrumstalotība.</w:t>
      </w:r>
    </w:p>
    <w:p w14:paraId="4DC14F36"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Otrkārt, gandrīz visas likumprojektā paredzētās tarifu regulējuma normas ir attiecināmas tikai uz vienoto dabasgāzes pārvades un uzglabāšanas sistēmas operatoru.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vērš uzmanību, ka Likuma regulējumam ir vairāki subjekti (energoapgādes komersanti), kas darbojās dažādās enerģētikas sfērās (dabasgāze, elektroenerģija, siltumenerģija), kā arī minēto sfēru </w:t>
      </w:r>
      <w:proofErr w:type="spellStart"/>
      <w:r>
        <w:rPr>
          <w:rFonts w:ascii="Times New Roman" w:hAnsi="Times New Roman" w:cs="Times New Roman"/>
          <w:sz w:val="24"/>
          <w:szCs w:val="24"/>
          <w:lang w:val="lv-LV"/>
        </w:rPr>
        <w:t>apakškategorijās</w:t>
      </w:r>
      <w:proofErr w:type="spellEnd"/>
      <w:r>
        <w:rPr>
          <w:rFonts w:ascii="Times New Roman" w:hAnsi="Times New Roman" w:cs="Times New Roman"/>
          <w:sz w:val="24"/>
          <w:szCs w:val="24"/>
          <w:lang w:val="lv-LV"/>
        </w:rPr>
        <w:t xml:space="preserve"> (sadale, pārvade, uzglabāšana, tirdzniecība). Visi energoapgādes komersanti ir vienlīdzīgi normatīva regulējuma priekšā. Atbilstoši juridiskās tehnikas prasībām nav pieļaujams līdzvērtīgiem subjektiem aktuālas tēmas regulējumu noteikt atšķirīgu līmeņu normatīvajos aktos. Ja likums skar kādu tēmu, tad tai vajadzētu būt noregulētai attiecībā uz visiem subjektiem. Regulējums var būt vienāds vai diferencēts atkarībā no subjekta darbības specifikas. Nav pieļaujama visiem subjektiem aktuālas tēmas noregulēšana tikai attiecībā uz vienu subjektu.</w:t>
      </w:r>
    </w:p>
    <w:p w14:paraId="0C08BB9D"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Ievērojot minēto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norāda uz nepieciešamību izslēgt no likumprojekta normas, kas ir saistītas ar vienotā dabasgāzes pārvades un uzglabāšanas operatora pakalpojumu tarifikācijas jautājumiem.</w:t>
      </w:r>
    </w:p>
    <w:p w14:paraId="46122637"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2. Likumprojekts paredz papildināt Likuma 1.pantu ar 5.</w:t>
      </w:r>
      <w:r>
        <w:rPr>
          <w:rFonts w:ascii="Times New Roman" w:hAnsi="Times New Roman" w:cs="Times New Roman"/>
          <w:sz w:val="24"/>
          <w:szCs w:val="24"/>
          <w:vertAlign w:val="superscript"/>
          <w:lang w:val="lv-LV"/>
        </w:rPr>
        <w:t>2</w:t>
      </w:r>
      <w:r>
        <w:rPr>
          <w:rFonts w:ascii="Times New Roman" w:hAnsi="Times New Roman" w:cs="Times New Roman"/>
          <w:sz w:val="24"/>
          <w:szCs w:val="24"/>
          <w:lang w:val="lv-LV"/>
        </w:rPr>
        <w:t xml:space="preserve"> punktu, definējot termina “dabasgāzes sadale” saturu. No definējuma satura cita starpā izriet, ka dabasgāzes sadale ir energoapgādes veids, kura ietvaros enerģija tiek piegādāta enerģijas lietotājiem.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vērš uzmanību uz to, ka energoefekt</w:t>
      </w:r>
      <w:r w:rsidR="009807EC">
        <w:rPr>
          <w:rFonts w:ascii="Times New Roman" w:hAnsi="Times New Roman" w:cs="Times New Roman"/>
          <w:sz w:val="24"/>
          <w:szCs w:val="24"/>
          <w:lang w:val="lv-LV"/>
        </w:rPr>
        <w:t>i</w:t>
      </w:r>
      <w:r>
        <w:rPr>
          <w:rFonts w:ascii="Times New Roman" w:hAnsi="Times New Roman" w:cs="Times New Roman"/>
          <w:sz w:val="24"/>
          <w:szCs w:val="24"/>
          <w:lang w:val="lv-LV"/>
        </w:rPr>
        <w:t xml:space="preserve">vitātes un klimata pārmaiņu novēršanas politikas ietvaros valsts līmenī šobrīd tiek risināti jautājumi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izmantošanas veicināšanai, tai skaitā iespēju radīšana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ražotājiem pieslēgties ne tikai pie dabasgāzes pārvades, bet arī pie sadales sistēmas. Pie šāda </w:t>
      </w:r>
      <w:proofErr w:type="spellStart"/>
      <w:r>
        <w:rPr>
          <w:rFonts w:ascii="Times New Roman" w:hAnsi="Times New Roman" w:cs="Times New Roman"/>
          <w:sz w:val="24"/>
          <w:szCs w:val="24"/>
          <w:lang w:val="lv-LV"/>
        </w:rPr>
        <w:t>gāzapgādes</w:t>
      </w:r>
      <w:proofErr w:type="spellEnd"/>
      <w:r>
        <w:rPr>
          <w:rFonts w:ascii="Times New Roman" w:hAnsi="Times New Roman" w:cs="Times New Roman"/>
          <w:sz w:val="24"/>
          <w:szCs w:val="24"/>
          <w:lang w:val="lv-LV"/>
        </w:rPr>
        <w:t xml:space="preserve"> modeļa, Dabasgāzes sadales sistēmas tehnisko īpatnību dēļ, neizbēgami radīsies situācijas, kad no sadales sistēmas dabasgāzi (</w:t>
      </w:r>
      <w:proofErr w:type="spellStart"/>
      <w:r>
        <w:rPr>
          <w:rFonts w:ascii="Times New Roman" w:hAnsi="Times New Roman" w:cs="Times New Roman"/>
          <w:sz w:val="24"/>
          <w:szCs w:val="24"/>
          <w:lang w:val="lv-LV"/>
        </w:rPr>
        <w:t>biometānu</w:t>
      </w:r>
      <w:proofErr w:type="spellEnd"/>
      <w:r>
        <w:rPr>
          <w:rFonts w:ascii="Times New Roman" w:hAnsi="Times New Roman" w:cs="Times New Roman"/>
          <w:sz w:val="24"/>
          <w:szCs w:val="24"/>
          <w:lang w:val="lv-LV"/>
        </w:rPr>
        <w:t xml:space="preserve">) būs nepieciešams fiziski ievadīt dabasgāzes pārvades sistēmā. Ievērojot minēto, lai nodrošinātu termina “dabasgāzes sadale” satura precizitāti, </w:t>
      </w:r>
      <w:r>
        <w:rPr>
          <w:rFonts w:ascii="Times New Roman" w:hAnsi="Times New Roman" w:cs="Times New Roman"/>
          <w:sz w:val="24"/>
          <w:szCs w:val="24"/>
          <w:lang w:val="lv-LV"/>
        </w:rPr>
        <w:lastRenderedPageBreak/>
        <w:t>definējumu pēc vārdiem “enerģijas lietotājiem” ir jāpapildina ar vārdiem “vai ievadīšanai pārvades sistēmā”.</w:t>
      </w:r>
    </w:p>
    <w:p w14:paraId="4150DDF4"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Ierosinām izvērtēt likumprojektā paredzēto termina “elektroenerģijas </w:t>
      </w:r>
      <w:proofErr w:type="spellStart"/>
      <w:r>
        <w:rPr>
          <w:rFonts w:ascii="Times New Roman" w:hAnsi="Times New Roman" w:cs="Times New Roman"/>
          <w:sz w:val="24"/>
          <w:szCs w:val="24"/>
          <w:lang w:val="lv-LV"/>
        </w:rPr>
        <w:t>energokopiena</w:t>
      </w:r>
      <w:proofErr w:type="spellEnd"/>
      <w:r>
        <w:rPr>
          <w:rFonts w:ascii="Times New Roman" w:hAnsi="Times New Roman" w:cs="Times New Roman"/>
          <w:sz w:val="24"/>
          <w:szCs w:val="24"/>
          <w:lang w:val="lv-LV"/>
        </w:rPr>
        <w:t>” (1.panta 9.</w:t>
      </w:r>
      <w:r>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punkts) definēšanas nepieciešamību, jo skaidrojuma saturs nepasaka neko vairāk par informāciju, kas izriet no paša termina.</w:t>
      </w:r>
    </w:p>
    <w:p w14:paraId="565FA88A"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4. Skaidrojot termina “enerģijas pārvade”, tiek izmantots normatīvajos aktos neatrunātais termins “sākumposma cauruļvadi”. Lai nepieļautu regulējuma dažādas interpretācijas iespējas, ierosinām atrunāt (definēt) minētā termina saturu vai izvairīties no tā lietošanas.</w:t>
      </w:r>
    </w:p>
    <w:p w14:paraId="2ED19A3D"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5. Likumprojekts paredz papildināt Likuma 1.pantu ar 24.</w:t>
      </w:r>
      <w:r>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punktu, definējot terminu “kurināmā piegādātājs”. Skaidrojuma ietvaros ir paredzēti trīs kritērij</w:t>
      </w:r>
      <w:r w:rsidR="000374C7">
        <w:rPr>
          <w:rFonts w:ascii="Times New Roman" w:hAnsi="Times New Roman" w:cs="Times New Roman"/>
          <w:sz w:val="24"/>
          <w:szCs w:val="24"/>
          <w:lang w:val="lv-LV"/>
        </w:rPr>
        <w:t>i,</w:t>
      </w:r>
      <w:r>
        <w:rPr>
          <w:rFonts w:ascii="Times New Roman" w:hAnsi="Times New Roman" w:cs="Times New Roman"/>
          <w:sz w:val="24"/>
          <w:szCs w:val="24"/>
          <w:lang w:val="lv-LV"/>
        </w:rPr>
        <w:t>, kas raksturo kurināmā piegādātāju. Lai nodrošinātu regulējuma precizitāti, ierosinām papildināt minētā punkta ievaddaļu, atrunājot vai par kurināmā piegādātāju tiek uzskatīta persona, kas vienlaicīgi atbilst visiem trim kritērijiem, vai ir pietiekoši ar atbilstību vismaz vienam kritērijam.</w:t>
      </w:r>
    </w:p>
    <w:p w14:paraId="3A16E369" w14:textId="77777777" w:rsidR="008C3BBA" w:rsidRDefault="003A7678" w:rsidP="008C3BBA">
      <w:pPr>
        <w:pStyle w:val="Default"/>
        <w:ind w:firstLine="709"/>
        <w:jc w:val="both"/>
        <w:rPr>
          <w:rFonts w:ascii="Times New Roman" w:hAnsi="Times New Roman" w:cs="Times New Roman"/>
          <w:sz w:val="24"/>
          <w:szCs w:val="24"/>
          <w:lang w:val="lv-LV"/>
        </w:rPr>
      </w:pPr>
      <w:r>
        <w:rPr>
          <w:rFonts w:ascii="Times New Roman" w:hAnsi="Times New Roman" w:cs="Times New Roman"/>
          <w:sz w:val="24"/>
          <w:szCs w:val="24"/>
          <w:lang w:val="lv-LV"/>
        </w:rPr>
        <w:t>6. Likumprojekts</w:t>
      </w:r>
      <w:r w:rsidRPr="005B237C">
        <w:rPr>
          <w:rFonts w:ascii="Times New Roman" w:hAnsi="Times New Roman" w:cs="Times New Roman"/>
          <w:sz w:val="24"/>
          <w:szCs w:val="24"/>
          <w:lang w:val="lv-LV"/>
        </w:rPr>
        <w:t xml:space="preserve"> paredz papildināt Likumu 1.pantu ar 39.</w:t>
      </w:r>
      <w:r w:rsidRPr="005B237C">
        <w:rPr>
          <w:rFonts w:ascii="Times New Roman" w:hAnsi="Times New Roman" w:cs="Times New Roman"/>
          <w:sz w:val="24"/>
          <w:szCs w:val="24"/>
          <w:vertAlign w:val="superscript"/>
          <w:lang w:val="lv-LV"/>
        </w:rPr>
        <w:t>1</w:t>
      </w:r>
      <w:r w:rsidRPr="005B237C">
        <w:rPr>
          <w:rFonts w:ascii="Times New Roman" w:hAnsi="Times New Roman" w:cs="Times New Roman"/>
          <w:sz w:val="24"/>
          <w:szCs w:val="24"/>
          <w:lang w:val="lv-LV"/>
        </w:rPr>
        <w:t> punktu, definējot terminu “sašķidrinātā dabasgāzes iekārta”.</w:t>
      </w:r>
      <w:r>
        <w:rPr>
          <w:rFonts w:ascii="Times New Roman" w:hAnsi="Times New Roman" w:cs="Times New Roman"/>
          <w:sz w:val="24"/>
          <w:szCs w:val="24"/>
          <w:lang w:val="lv-LV"/>
        </w:rPr>
        <w:t xml:space="preserve"> Atkārtoti vēršam uzmanību uz to, ka</w:t>
      </w:r>
      <w:r w:rsidRPr="005B237C">
        <w:rPr>
          <w:rFonts w:ascii="Times New Roman" w:hAnsi="Times New Roman" w:cs="Times New Roman"/>
          <w:sz w:val="24"/>
          <w:szCs w:val="24"/>
          <w:lang w:val="lv-LV"/>
        </w:rPr>
        <w:t xml:space="preserve"> </w:t>
      </w:r>
      <w:proofErr w:type="spellStart"/>
      <w:r w:rsidRPr="005B237C">
        <w:rPr>
          <w:rFonts w:ascii="Times New Roman" w:hAnsi="Times New Roman" w:cs="Times New Roman"/>
          <w:sz w:val="24"/>
          <w:szCs w:val="24"/>
          <w:lang w:val="lv-LV"/>
        </w:rPr>
        <w:t>Gaso</w:t>
      </w:r>
      <w:proofErr w:type="spellEnd"/>
      <w:r w:rsidRPr="005B237C">
        <w:rPr>
          <w:rFonts w:ascii="Times New Roman" w:hAnsi="Times New Roman" w:cs="Times New Roman"/>
          <w:sz w:val="24"/>
          <w:szCs w:val="24"/>
          <w:lang w:val="lv-LV"/>
        </w:rPr>
        <w:t xml:space="preserve"> nevar piekrist definējuma nosacījumam, ka sašķidrinātās dabasgāzes iekārta nevar būt pieslēgta dabasgāzes sadales sistēmai. </w:t>
      </w:r>
      <w:r>
        <w:rPr>
          <w:rFonts w:ascii="Times New Roman" w:hAnsi="Times New Roman" w:cs="Times New Roman"/>
          <w:sz w:val="24"/>
          <w:szCs w:val="24"/>
          <w:lang w:val="lv-LV"/>
        </w:rPr>
        <w:t>Kā jau bija minēts iepriekš</w:t>
      </w:r>
      <w:r w:rsidRPr="005B237C">
        <w:rPr>
          <w:rFonts w:ascii="Times New Roman" w:hAnsi="Times New Roman" w:cs="Times New Roman"/>
          <w:sz w:val="24"/>
          <w:szCs w:val="24"/>
          <w:lang w:val="lv-LV"/>
        </w:rPr>
        <w:t xml:space="preserve"> sašķidrinātās dabasgāzes iekārtas var būt izmantotas nelielu administratīvo teritoriju (ciematu, mazpilsētu) gazifikācijai. Šādos gadījumos var būt izveidots lokālas </w:t>
      </w:r>
      <w:r w:rsidRPr="005B237C">
        <w:rPr>
          <w:rFonts w:ascii="Times New Roman" w:hAnsi="Times New Roman" w:cs="Times New Roman"/>
          <w:sz w:val="24"/>
          <w:szCs w:val="24"/>
          <w:u w:val="single"/>
          <w:lang w:val="lv-LV"/>
        </w:rPr>
        <w:t>sadales sistēmas tīkls</w:t>
      </w:r>
      <w:r w:rsidRPr="005B237C">
        <w:rPr>
          <w:rFonts w:ascii="Times New Roman" w:hAnsi="Times New Roman" w:cs="Times New Roman"/>
          <w:sz w:val="24"/>
          <w:szCs w:val="24"/>
          <w:lang w:val="lv-LV"/>
        </w:rPr>
        <w:t xml:space="preserve">, kas būtu izbūvēts, un uzturēts atbilstoši sadales sistēmai jau pašlaik normatīvajos aktos izvirzītām prasībām, kas nodrošinātu sistēmas drošu, stabilu un efektīvu funkcionēšanu. Ja iepriekš pieminētās lokālās </w:t>
      </w:r>
      <w:proofErr w:type="spellStart"/>
      <w:r w:rsidRPr="005B237C">
        <w:rPr>
          <w:rFonts w:ascii="Times New Roman" w:hAnsi="Times New Roman" w:cs="Times New Roman"/>
          <w:sz w:val="24"/>
          <w:szCs w:val="24"/>
          <w:lang w:val="lv-LV"/>
        </w:rPr>
        <w:t>gāzapgādes</w:t>
      </w:r>
      <w:proofErr w:type="spellEnd"/>
      <w:r w:rsidRPr="005B237C">
        <w:rPr>
          <w:rFonts w:ascii="Times New Roman" w:hAnsi="Times New Roman" w:cs="Times New Roman"/>
          <w:sz w:val="24"/>
          <w:szCs w:val="24"/>
          <w:lang w:val="lv-LV"/>
        </w:rPr>
        <w:t xml:space="preserve"> sistēmas netiks pieskaitītas pie sadales sistēmas, tad normatīvā regulējuma trūkuma dēļ, ir apšaubāma sistēmas pienācīga uzturēšana un avārijas situāciju savlaicīga un kvalificētā novēršana. Ievērojot minēto uzskatām par nepieciešanu termina “sašķidrinātās dabasgāzes iekārta” definējumā svītrot vārdus “vai sadales sistēmā”.</w:t>
      </w:r>
    </w:p>
    <w:p w14:paraId="1B1F1767"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Vienlaikus norādām, ka likumprojekts jau pašreizējā redakcijā neparedz obligātu nosacījumu sadales sistēmai būt pieslēgtai pie pārvades sistēmas un paredz iespēju sadales sistēmai būt pieslēgtai tikai pie enerģijas ražošanas objekta. Tas nozīmē, ka lokālais sadales sistēmas tīkls būs iespējams tikai pie nosacījuma, ka tas būs pieslēgts pie </w:t>
      </w:r>
      <w:proofErr w:type="spellStart"/>
      <w:r>
        <w:rPr>
          <w:rFonts w:ascii="Times New Roman" w:hAnsi="Times New Roman" w:cs="Times New Roman"/>
          <w:sz w:val="24"/>
          <w:szCs w:val="24"/>
          <w:lang w:val="lv-LV"/>
        </w:rPr>
        <w:t>biometāna</w:t>
      </w:r>
      <w:proofErr w:type="spellEnd"/>
      <w:r>
        <w:rPr>
          <w:rFonts w:ascii="Times New Roman" w:hAnsi="Times New Roman" w:cs="Times New Roman"/>
          <w:sz w:val="24"/>
          <w:szCs w:val="24"/>
          <w:lang w:val="lv-LV"/>
        </w:rPr>
        <w:t xml:space="preserve"> ražotāja vai termināļa, savukārt ar </w:t>
      </w:r>
      <w:proofErr w:type="spellStart"/>
      <w:r>
        <w:rPr>
          <w:rFonts w:ascii="Times New Roman" w:hAnsi="Times New Roman" w:cs="Times New Roman"/>
          <w:sz w:val="24"/>
          <w:szCs w:val="24"/>
          <w:lang w:val="lv-LV"/>
        </w:rPr>
        <w:t>pieslēgumu</w:t>
      </w:r>
      <w:proofErr w:type="spellEnd"/>
      <w:r>
        <w:rPr>
          <w:rFonts w:ascii="Times New Roman" w:hAnsi="Times New Roman" w:cs="Times New Roman"/>
          <w:sz w:val="24"/>
          <w:szCs w:val="24"/>
          <w:lang w:val="lv-LV"/>
        </w:rPr>
        <w:t xml:space="preserve"> pie sašķidrinātās dabasgāzes iekārtas lokālais sadales sistēmas tīkls pastāvēt nevarēs. Vēršam uzmanību uz to, ka nesaskatām šādai situācijai praktisku, loģisku vai juridisku pamatojumu. Lūdzam paredzēt iespēju sašķidrinātās dabas gāzes iekārtai būt pieslēgtai pie sadales sistēmas.</w:t>
      </w:r>
    </w:p>
    <w:p w14:paraId="12D17F3F" w14:textId="77777777" w:rsidR="008C3BBA" w:rsidRDefault="003A7678" w:rsidP="008C3BBA">
      <w:pPr>
        <w:pStyle w:val="Default"/>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lang w:val="lv-LV"/>
        </w:rPr>
        <w:t xml:space="preserve">7.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atzinumā par iepriekšējo likumprojekta redakciju bija izteikusi priekšlikumu papildināt Likumu ar 14.</w:t>
      </w:r>
      <w:r>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xml:space="preserve"> pantu, kas piešķirtu tiesību </w:t>
      </w:r>
      <w:proofErr w:type="spellStart"/>
      <w:r w:rsidRPr="0031563D">
        <w:rPr>
          <w:rFonts w:ascii="Times New Roman" w:hAnsi="Times New Roman" w:cs="Times New Roman"/>
          <w:sz w:val="24"/>
          <w:szCs w:val="24"/>
          <w:shd w:val="clear" w:color="auto" w:fill="FFFFFF"/>
          <w:lang w:val="lv-LV"/>
        </w:rPr>
        <w:t>Energokomersantiem</w:t>
      </w:r>
      <w:proofErr w:type="spellEnd"/>
      <w:r w:rsidRPr="0031563D">
        <w:rPr>
          <w:rFonts w:ascii="Times New Roman" w:hAnsi="Times New Roman" w:cs="Times New Roman"/>
          <w:sz w:val="24"/>
          <w:szCs w:val="24"/>
          <w:shd w:val="clear" w:color="auto" w:fill="FFFFFF"/>
          <w:lang w:val="lv-LV"/>
        </w:rPr>
        <w:t xml:space="preserve">, kas ir sabiedrisko pakalpojumu sniedzēji, normatīvajos aktos atrunāto funkciju īstenošanai pieprasīt un </w:t>
      </w:r>
      <w:r>
        <w:rPr>
          <w:rFonts w:ascii="Times New Roman" w:hAnsi="Times New Roman" w:cs="Times New Roman"/>
          <w:sz w:val="24"/>
          <w:szCs w:val="24"/>
          <w:shd w:val="clear" w:color="auto" w:fill="FFFFFF"/>
          <w:lang w:val="lv-LV"/>
        </w:rPr>
        <w:t xml:space="preserve">bez samaksas </w:t>
      </w:r>
      <w:r w:rsidRPr="0031563D">
        <w:rPr>
          <w:rFonts w:ascii="Times New Roman" w:hAnsi="Times New Roman" w:cs="Times New Roman"/>
          <w:sz w:val="24"/>
          <w:szCs w:val="24"/>
          <w:shd w:val="clear" w:color="auto" w:fill="FFFFFF"/>
          <w:lang w:val="lv-LV"/>
        </w:rPr>
        <w:t xml:space="preserve">saņemt nepieciešamu informāciju no valsts publiskiem reģistriem. </w:t>
      </w:r>
      <w:r>
        <w:rPr>
          <w:rFonts w:ascii="Times New Roman" w:hAnsi="Times New Roman" w:cs="Times New Roman"/>
          <w:sz w:val="24"/>
          <w:szCs w:val="24"/>
          <w:shd w:val="clear" w:color="auto" w:fill="FFFFFF"/>
          <w:lang w:val="lv-LV"/>
        </w:rPr>
        <w:t>Šis priekšlikums</w:t>
      </w:r>
      <w:r w:rsidRPr="0031563D">
        <w:rPr>
          <w:rFonts w:ascii="Times New Roman" w:hAnsi="Times New Roman" w:cs="Times New Roman"/>
          <w:sz w:val="24"/>
          <w:szCs w:val="24"/>
          <w:shd w:val="clear" w:color="auto" w:fill="FFFFFF"/>
          <w:lang w:val="lv-LV"/>
        </w:rPr>
        <w:t xml:space="preserve"> </w:t>
      </w:r>
      <w:r>
        <w:rPr>
          <w:rFonts w:ascii="Times New Roman" w:hAnsi="Times New Roman" w:cs="Times New Roman"/>
          <w:sz w:val="24"/>
          <w:szCs w:val="24"/>
          <w:shd w:val="clear" w:color="auto" w:fill="FFFFFF"/>
          <w:lang w:val="lv-LV"/>
        </w:rPr>
        <w:t xml:space="preserve">ir saistīts ar to, ka </w:t>
      </w:r>
      <w:proofErr w:type="spellStart"/>
      <w:r w:rsidRPr="0031563D">
        <w:rPr>
          <w:rFonts w:ascii="Times New Roman" w:hAnsi="Times New Roman" w:cs="Times New Roman"/>
          <w:sz w:val="24"/>
          <w:szCs w:val="24"/>
          <w:shd w:val="clear" w:color="auto" w:fill="FFFFFF"/>
          <w:lang w:val="lv-LV"/>
        </w:rPr>
        <w:t>Gaso</w:t>
      </w:r>
      <w:proofErr w:type="spellEnd"/>
      <w:r w:rsidRPr="0031563D">
        <w:rPr>
          <w:rFonts w:ascii="Times New Roman" w:hAnsi="Times New Roman" w:cs="Times New Roman"/>
          <w:sz w:val="24"/>
          <w:szCs w:val="24"/>
          <w:shd w:val="clear" w:color="auto" w:fill="FFFFFF"/>
          <w:lang w:val="lv-LV"/>
        </w:rPr>
        <w:t>, realizējot dabasgāzes sadales sistēmas operatora funkcijas, dabasgāzes lietotāju pasivitātes vai negodprātīgās rīcības dēļ, bieži saskarās ar nepieciešamību identificēt patieso dabasgāzes lietotāju, gazificētā objekta īpašnieku vai potenciālo gazificētā objekta īpašnieku (lietotāju) īpašnieka nāves gadījumā. Šī informācija ir nozīmīga sadales sistēmas operatora pienākuma izpildei un saistīta ne tikai ar samaksas iekasēšanu par sniegto pakalpojumu, bet galvenokārt ar dabasgāzes drošas lietošanas apsvērumiem</w:t>
      </w:r>
      <w:r>
        <w:rPr>
          <w:rFonts w:ascii="Times New Roman" w:hAnsi="Times New Roman" w:cs="Times New Roman"/>
          <w:sz w:val="24"/>
          <w:szCs w:val="24"/>
          <w:shd w:val="clear" w:color="auto" w:fill="FFFFFF"/>
          <w:lang w:val="lv-LV"/>
        </w:rPr>
        <w:t xml:space="preserve"> (plašāka nepieciešamības argumentācija ir atrodama </w:t>
      </w:r>
      <w:proofErr w:type="spellStart"/>
      <w:r>
        <w:rPr>
          <w:rFonts w:ascii="Times New Roman" w:hAnsi="Times New Roman" w:cs="Times New Roman"/>
          <w:sz w:val="24"/>
          <w:szCs w:val="24"/>
          <w:shd w:val="clear" w:color="auto" w:fill="FFFFFF"/>
          <w:lang w:val="lv-LV"/>
        </w:rPr>
        <w:t>Gaso</w:t>
      </w:r>
      <w:proofErr w:type="spellEnd"/>
      <w:r>
        <w:rPr>
          <w:rFonts w:ascii="Times New Roman" w:hAnsi="Times New Roman" w:cs="Times New Roman"/>
          <w:sz w:val="24"/>
          <w:szCs w:val="24"/>
          <w:shd w:val="clear" w:color="auto" w:fill="FFFFFF"/>
          <w:lang w:val="lv-LV"/>
        </w:rPr>
        <w:t xml:space="preserve"> iepriekšējā atzinumā)</w:t>
      </w:r>
      <w:r w:rsidRPr="0031563D">
        <w:rPr>
          <w:rFonts w:ascii="Times New Roman" w:hAnsi="Times New Roman" w:cs="Times New Roman"/>
          <w:sz w:val="24"/>
          <w:szCs w:val="24"/>
          <w:shd w:val="clear" w:color="auto" w:fill="FFFFFF"/>
          <w:lang w:val="lv-LV"/>
        </w:rPr>
        <w:t>.</w:t>
      </w:r>
      <w:r>
        <w:rPr>
          <w:rFonts w:ascii="Times New Roman" w:hAnsi="Times New Roman" w:cs="Times New Roman"/>
          <w:sz w:val="24"/>
          <w:szCs w:val="24"/>
          <w:shd w:val="clear" w:color="auto" w:fill="FFFFFF"/>
          <w:lang w:val="lv-LV"/>
        </w:rPr>
        <w:t xml:space="preserve"> Atbilstoši likumprojektam pievienotai izziņai par atzinumos izteiktajiem iebildumiem un priekšlikumiem iepriekš minētais </w:t>
      </w:r>
      <w:proofErr w:type="spellStart"/>
      <w:r>
        <w:rPr>
          <w:rFonts w:ascii="Times New Roman" w:hAnsi="Times New Roman" w:cs="Times New Roman"/>
          <w:sz w:val="24"/>
          <w:szCs w:val="24"/>
          <w:shd w:val="clear" w:color="auto" w:fill="FFFFFF"/>
          <w:lang w:val="lv-LV"/>
        </w:rPr>
        <w:t>Gaso</w:t>
      </w:r>
      <w:proofErr w:type="spellEnd"/>
      <w:r>
        <w:rPr>
          <w:rFonts w:ascii="Times New Roman" w:hAnsi="Times New Roman" w:cs="Times New Roman"/>
          <w:sz w:val="24"/>
          <w:szCs w:val="24"/>
          <w:shd w:val="clear" w:color="auto" w:fill="FFFFFF"/>
          <w:lang w:val="lv-LV"/>
        </w:rPr>
        <w:t xml:space="preserve"> priekšlikums </w:t>
      </w:r>
      <w:r w:rsidRPr="00F57C92">
        <w:rPr>
          <w:rFonts w:ascii="Times New Roman" w:hAnsi="Times New Roman" w:cs="Times New Roman"/>
          <w:sz w:val="24"/>
          <w:szCs w:val="24"/>
          <w:u w:val="single"/>
          <w:shd w:val="clear" w:color="auto" w:fill="FFFFFF"/>
          <w:lang w:val="lv-LV"/>
        </w:rPr>
        <w:t>ir ņemts vērā</w:t>
      </w:r>
      <w:r>
        <w:rPr>
          <w:rFonts w:ascii="Times New Roman" w:hAnsi="Times New Roman" w:cs="Times New Roman"/>
          <w:sz w:val="24"/>
          <w:szCs w:val="24"/>
          <w:shd w:val="clear" w:color="auto" w:fill="FFFFFF"/>
          <w:lang w:val="lv-LV"/>
        </w:rPr>
        <w:t>. Tai pašā laikā precizētajā likumprojektā ierosinātais regulējums nav atrodams.</w:t>
      </w:r>
    </w:p>
    <w:p w14:paraId="0A0B498A" w14:textId="77777777" w:rsidR="008C3BBA" w:rsidRDefault="003A7678" w:rsidP="008C3BBA">
      <w:pPr>
        <w:pStyle w:val="Default"/>
        <w:ind w:firstLine="720"/>
        <w:jc w:val="both"/>
        <w:rPr>
          <w:rFonts w:ascii="Times New Roman" w:hAnsi="Times New Roman" w:cs="Times New Roman"/>
          <w:sz w:val="24"/>
          <w:szCs w:val="24"/>
          <w:shd w:val="clear" w:color="auto" w:fill="FFFFFF"/>
          <w:lang w:val="lv-LV"/>
        </w:rPr>
      </w:pPr>
      <w:r>
        <w:rPr>
          <w:rFonts w:ascii="Times New Roman" w:hAnsi="Times New Roman" w:cs="Times New Roman"/>
          <w:sz w:val="24"/>
          <w:szCs w:val="24"/>
          <w:shd w:val="clear" w:color="auto" w:fill="FFFFFF"/>
          <w:lang w:val="lv-LV"/>
        </w:rPr>
        <w:t>Ievērojot minēto</w:t>
      </w:r>
      <w:r w:rsidR="000374C7">
        <w:rPr>
          <w:rFonts w:ascii="Times New Roman" w:hAnsi="Times New Roman" w:cs="Times New Roman"/>
          <w:sz w:val="24"/>
          <w:szCs w:val="24"/>
          <w:shd w:val="clear" w:color="auto" w:fill="FFFFFF"/>
          <w:lang w:val="lv-LV"/>
        </w:rPr>
        <w:t>,</w:t>
      </w:r>
      <w:r>
        <w:rPr>
          <w:rFonts w:ascii="Times New Roman" w:hAnsi="Times New Roman" w:cs="Times New Roman"/>
          <w:sz w:val="24"/>
          <w:szCs w:val="24"/>
          <w:shd w:val="clear" w:color="auto" w:fill="FFFFFF"/>
          <w:lang w:val="lv-LV"/>
        </w:rPr>
        <w:t xml:space="preserve"> lūdzam papildināt likumprojektu ar iepriekš ierosināt</w:t>
      </w:r>
      <w:r w:rsidR="000374C7">
        <w:rPr>
          <w:rFonts w:ascii="Times New Roman" w:hAnsi="Times New Roman" w:cs="Times New Roman"/>
          <w:sz w:val="24"/>
          <w:szCs w:val="24"/>
          <w:shd w:val="clear" w:color="auto" w:fill="FFFFFF"/>
          <w:lang w:val="lv-LV"/>
        </w:rPr>
        <w:t>o</w:t>
      </w:r>
      <w:r>
        <w:rPr>
          <w:rFonts w:ascii="Times New Roman" w:hAnsi="Times New Roman" w:cs="Times New Roman"/>
          <w:sz w:val="24"/>
          <w:szCs w:val="24"/>
          <w:shd w:val="clear" w:color="auto" w:fill="FFFFFF"/>
          <w:lang w:val="lv-LV"/>
        </w:rPr>
        <w:t xml:space="preserve"> regulējumu.</w:t>
      </w:r>
    </w:p>
    <w:p w14:paraId="6E10E8B4" w14:textId="77777777" w:rsidR="008C3BBA" w:rsidRDefault="003A7678" w:rsidP="008C3BBA">
      <w:pPr>
        <w:pStyle w:val="Default"/>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lang w:val="lv-LV"/>
        </w:rPr>
        <w:t>8. Likumprojekta 11.pants paredz papildināt Likuma 15.pantu ar 5.</w:t>
      </w:r>
      <w:r>
        <w:rPr>
          <w:rFonts w:ascii="Times New Roman" w:hAnsi="Times New Roman" w:cs="Times New Roman"/>
          <w:sz w:val="24"/>
          <w:szCs w:val="24"/>
          <w:shd w:val="clear" w:color="auto" w:fill="FFFFFF"/>
          <w:vertAlign w:val="superscript"/>
          <w:lang w:val="lv-LV"/>
        </w:rPr>
        <w:t>1 </w:t>
      </w:r>
      <w:r>
        <w:rPr>
          <w:rFonts w:ascii="Times New Roman" w:hAnsi="Times New Roman" w:cs="Times New Roman"/>
          <w:sz w:val="24"/>
          <w:szCs w:val="24"/>
          <w:shd w:val="clear" w:color="auto" w:fill="FFFFFF"/>
          <w:lang w:val="lv-LV"/>
        </w:rPr>
        <w:t xml:space="preserve">daļu nosakot, </w:t>
      </w:r>
      <w:r w:rsidRPr="003833B2">
        <w:rPr>
          <w:rFonts w:ascii="Times New Roman" w:hAnsi="Times New Roman" w:cs="Times New Roman"/>
          <w:sz w:val="24"/>
          <w:szCs w:val="24"/>
          <w:shd w:val="clear" w:color="auto" w:fill="FFFFFF"/>
          <w:lang w:val="lv-LV"/>
        </w:rPr>
        <w:t xml:space="preserve">ka </w:t>
      </w:r>
      <w:r>
        <w:rPr>
          <w:rFonts w:ascii="Times New Roman" w:hAnsi="Times New Roman" w:cs="Times New Roman"/>
          <w:sz w:val="24"/>
          <w:szCs w:val="24"/>
        </w:rPr>
        <w:t>s</w:t>
      </w:r>
      <w:r w:rsidRPr="003833B2">
        <w:rPr>
          <w:rFonts w:ascii="Times New Roman" w:hAnsi="Times New Roman" w:cs="Times New Roman"/>
          <w:sz w:val="24"/>
          <w:szCs w:val="24"/>
        </w:rPr>
        <w:t>istēmas operatoram ir tiesības dabasgāzi virtuāli pārnest no dabasgāzes sadales sistēmas uz dabasgāzes pārvades sistēmu, kamēr fiziskā reversā dabasgāzes plūsma nav iespējama</w:t>
      </w:r>
      <w:r>
        <w:rPr>
          <w:rFonts w:ascii="Times New Roman" w:hAnsi="Times New Roman" w:cs="Times New Roman"/>
          <w:sz w:val="24"/>
          <w:szCs w:val="24"/>
        </w:rPr>
        <w:t>.</w:t>
      </w:r>
    </w:p>
    <w:p w14:paraId="19BC3CBA" w14:textId="77777777" w:rsidR="008C3BBA" w:rsidRDefault="003A7678" w:rsidP="008C3BBA">
      <w:pPr>
        <w:pStyle w:val="Default"/>
        <w:ind w:firstLine="720"/>
        <w:jc w:val="both"/>
        <w:rPr>
          <w:rFonts w:ascii="Times New Roman" w:hAnsi="Times New Roman" w:cs="Times New Roman"/>
          <w:sz w:val="24"/>
          <w:szCs w:val="24"/>
        </w:rPr>
      </w:pPr>
      <w:r>
        <w:rPr>
          <w:rFonts w:ascii="Times New Roman" w:hAnsi="Times New Roman" w:cs="Times New Roman"/>
          <w:sz w:val="24"/>
          <w:szCs w:val="24"/>
        </w:rPr>
        <w:t xml:space="preserve">Vēršam uzmanību uz to, ka piedavātais regulējums varēs darboties tiekai pie nosacījuma, ka attiecīga regiona sadales sistēmas galalietotāju kopīgais gāzes patēriņš pārsniegs attiecīga biometāna ražoitāja saražotā biometāna apjomu. Vienlaicīgi norādam uz to, ka </w:t>
      </w:r>
      <w:r>
        <w:rPr>
          <w:rFonts w:ascii="Times New Roman" w:hAnsi="Times New Roman" w:cs="Times New Roman"/>
          <w:sz w:val="24"/>
          <w:szCs w:val="24"/>
          <w:shd w:val="clear" w:color="auto" w:fill="FFFFFF"/>
          <w:lang w:val="lv-LV"/>
        </w:rPr>
        <w:t xml:space="preserve">piedāvātam regulējumam ir pagaidu raksturs (līdz tehniski tiks nodrošināta fiziskā reversā dabasgāzes plūsma). Ievērojot minēto </w:t>
      </w:r>
      <w:proofErr w:type="spellStart"/>
      <w:r>
        <w:rPr>
          <w:rFonts w:ascii="Times New Roman" w:hAnsi="Times New Roman" w:cs="Times New Roman"/>
          <w:sz w:val="24"/>
          <w:szCs w:val="24"/>
          <w:shd w:val="clear" w:color="auto" w:fill="FFFFFF"/>
          <w:lang w:val="lv-LV"/>
        </w:rPr>
        <w:lastRenderedPageBreak/>
        <w:t>Gaso</w:t>
      </w:r>
      <w:proofErr w:type="spellEnd"/>
      <w:r>
        <w:rPr>
          <w:rFonts w:ascii="Times New Roman" w:hAnsi="Times New Roman" w:cs="Times New Roman"/>
          <w:sz w:val="24"/>
          <w:szCs w:val="24"/>
          <w:shd w:val="clear" w:color="auto" w:fill="FFFFFF"/>
          <w:lang w:val="lv-LV"/>
        </w:rPr>
        <w:t xml:space="preserve"> ierosina precizēt regulējumu, ņemot vērā iepriekš aprakstītu nosacījumu un pārcelt to uz Likuma pārejas noteikumiem.</w:t>
      </w:r>
    </w:p>
    <w:p w14:paraId="65725E72"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 xml:space="preserve">9. Izvērtējot precizēto likumprojektu esam konstatējuši, ka no tā ir izslēgts regulējums par dabasgāzes sadales sistēmas operatora iespēju iekļūt gazificētajā objektā pret gazificētā objekta īpašnieka vai valdītāja gribu, ja iepriekš ilgstoši (piecu gadu laikā) sadales sistēmas operatoram šāda iespēja netika nodrošināta (Likuma 23.panta ceturtā daļa). </w:t>
      </w:r>
      <w:proofErr w:type="spellStart"/>
      <w:r>
        <w:rPr>
          <w:rFonts w:ascii="Times New Roman" w:hAnsi="Times New Roman" w:cs="Times New Roman"/>
          <w:sz w:val="24"/>
          <w:szCs w:val="24"/>
          <w:shd w:val="clear" w:color="auto" w:fill="FFFFFF"/>
          <w:lang w:val="lv-LV"/>
        </w:rPr>
        <w:t>Gaso</w:t>
      </w:r>
      <w:proofErr w:type="spellEnd"/>
      <w:r>
        <w:rPr>
          <w:rFonts w:ascii="Times New Roman" w:hAnsi="Times New Roman" w:cs="Times New Roman"/>
          <w:sz w:val="24"/>
          <w:szCs w:val="24"/>
          <w:shd w:val="clear" w:color="auto" w:fill="FFFFFF"/>
          <w:lang w:val="lv-LV"/>
        </w:rPr>
        <w:t xml:space="preserve"> apzinās, ka iepriekš likumprojektā paredzētā norma skar ar Latvijas Republikas Satversmes 105.pantu aizsargājamās intereses. Tai pašā laikā </w:t>
      </w:r>
      <w:r w:rsidRPr="006B66B8">
        <w:rPr>
          <w:rFonts w:ascii="Times New Roman" w:hAnsi="Times New Roman" w:cs="Times New Roman"/>
          <w:sz w:val="24"/>
          <w:szCs w:val="24"/>
          <w:u w:val="single"/>
          <w:lang w:val="lv-LV"/>
        </w:rPr>
        <w:t>kategoriski nepiekrīt</w:t>
      </w:r>
      <w:r>
        <w:rPr>
          <w:rFonts w:ascii="Times New Roman" w:hAnsi="Times New Roman" w:cs="Times New Roman"/>
          <w:sz w:val="24"/>
          <w:szCs w:val="24"/>
          <w:u w:val="single"/>
          <w:lang w:val="lv-LV"/>
        </w:rPr>
        <w:t>am</w:t>
      </w:r>
      <w:r>
        <w:rPr>
          <w:rFonts w:ascii="Times New Roman" w:hAnsi="Times New Roman" w:cs="Times New Roman"/>
          <w:sz w:val="24"/>
          <w:szCs w:val="24"/>
          <w:lang w:val="lv-LV"/>
        </w:rPr>
        <w:t xml:space="preserve"> minētās normas izslēgšanai no likumprojekta, jo kā tas jau bija aprakstīts iepriekšējās vēstulēs, minētā norma ir nozīmīga sadales sistēmas operatoram ar likumu noteikto funkciju īstenošanai, kā arī tieši ir saistīta ar iedzīvotāju drošību. Ierosinātās normas samērīguma izvērtēšanai, iesākumā vēlamies sniegt ieskatu realitātē, kas saistītā ar gazificēto objektu atslēgšanu. Zemāk ir norādīta pēdējo gadu statistika par dabasgāzes tirgotāja atslēgšanas uzdevumu izpildi gazificētajos objektos:</w:t>
      </w:r>
    </w:p>
    <w:p w14:paraId="6F9E2210" w14:textId="77777777" w:rsidR="008C3BBA" w:rsidRPr="004D7BAD" w:rsidRDefault="008C3BBA" w:rsidP="008C3BBA">
      <w:pPr>
        <w:pStyle w:val="Default"/>
        <w:ind w:firstLine="720"/>
        <w:jc w:val="both"/>
        <w:rPr>
          <w:rFonts w:ascii="Times New Roman" w:hAnsi="Times New Roman" w:cs="Times New Roman"/>
          <w:sz w:val="24"/>
          <w:szCs w:val="24"/>
          <w:shd w:val="clear" w:color="auto" w:fill="FFFFFF"/>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16"/>
        <w:gridCol w:w="3016"/>
      </w:tblGrid>
      <w:tr w:rsidR="00B1156E" w14:paraId="174715C2" w14:textId="77777777" w:rsidTr="00BE19FC">
        <w:tc>
          <w:tcPr>
            <w:tcW w:w="3016" w:type="dxa"/>
            <w:tcBorders>
              <w:top w:val="nil"/>
              <w:left w:val="nil"/>
              <w:bottom w:val="double" w:sz="4" w:space="0" w:color="auto"/>
              <w:right w:val="double" w:sz="4" w:space="0" w:color="auto"/>
            </w:tcBorders>
            <w:shd w:val="clear" w:color="auto" w:fill="auto"/>
          </w:tcPr>
          <w:p w14:paraId="208DBA2C"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bottom w:val="double" w:sz="4" w:space="0" w:color="auto"/>
              <w:right w:val="double" w:sz="4" w:space="0" w:color="auto"/>
            </w:tcBorders>
            <w:shd w:val="clear" w:color="auto" w:fill="auto"/>
          </w:tcPr>
          <w:p w14:paraId="782BF549"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0"/>
                <w:szCs w:val="20"/>
                <w:lang w:val="lv-LV"/>
              </w:rPr>
            </w:pPr>
            <w:r w:rsidRPr="00A7652E">
              <w:rPr>
                <w:rFonts w:ascii="Times New Roman" w:hAnsi="Times New Roman" w:cs="Times New Roman"/>
                <w:b/>
                <w:sz w:val="20"/>
                <w:szCs w:val="20"/>
                <w:lang w:val="lv-LV"/>
              </w:rPr>
              <w:t>Tirgotāja izdoto atslēgšanas rīkojumu skaits</w:t>
            </w:r>
          </w:p>
        </w:tc>
        <w:tc>
          <w:tcPr>
            <w:tcW w:w="3016" w:type="dxa"/>
            <w:tcBorders>
              <w:top w:val="double" w:sz="4" w:space="0" w:color="auto"/>
              <w:left w:val="double" w:sz="4" w:space="0" w:color="auto"/>
              <w:bottom w:val="double" w:sz="4" w:space="0" w:color="auto"/>
              <w:right w:val="double" w:sz="4" w:space="0" w:color="auto"/>
            </w:tcBorders>
            <w:shd w:val="clear" w:color="auto" w:fill="auto"/>
          </w:tcPr>
          <w:p w14:paraId="496DE06A"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0"/>
                <w:szCs w:val="20"/>
                <w:lang w:val="lv-LV"/>
              </w:rPr>
            </w:pPr>
            <w:r w:rsidRPr="00A7652E">
              <w:rPr>
                <w:rFonts w:ascii="Times New Roman" w:hAnsi="Times New Roman" w:cs="Times New Roman"/>
                <w:b/>
                <w:sz w:val="20"/>
                <w:szCs w:val="20"/>
                <w:lang w:val="lv-LV"/>
              </w:rPr>
              <w:t xml:space="preserve">Ar pirmo reizi </w:t>
            </w:r>
            <w:r>
              <w:rPr>
                <w:rFonts w:ascii="Times New Roman" w:hAnsi="Times New Roman" w:cs="Times New Roman"/>
                <w:b/>
                <w:sz w:val="20"/>
                <w:szCs w:val="20"/>
                <w:lang w:val="lv-LV"/>
              </w:rPr>
              <w:t xml:space="preserve">neiekļūšanas dēļ </w:t>
            </w:r>
            <w:r w:rsidRPr="00A7652E">
              <w:rPr>
                <w:rFonts w:ascii="Times New Roman" w:hAnsi="Times New Roman" w:cs="Times New Roman"/>
                <w:b/>
                <w:sz w:val="20"/>
                <w:szCs w:val="20"/>
                <w:lang w:val="lv-LV"/>
              </w:rPr>
              <w:t>atslēgt neizdevās</w:t>
            </w:r>
          </w:p>
        </w:tc>
      </w:tr>
      <w:tr w:rsidR="00B1156E" w14:paraId="062039E4" w14:textId="77777777" w:rsidTr="00BE19FC">
        <w:tc>
          <w:tcPr>
            <w:tcW w:w="3016" w:type="dxa"/>
            <w:tcBorders>
              <w:top w:val="double" w:sz="4" w:space="0" w:color="auto"/>
              <w:left w:val="double" w:sz="4" w:space="0" w:color="auto"/>
              <w:right w:val="double" w:sz="4" w:space="0" w:color="auto"/>
            </w:tcBorders>
            <w:shd w:val="clear" w:color="auto" w:fill="auto"/>
          </w:tcPr>
          <w:p w14:paraId="1D1A5F63"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0"/>
                <w:szCs w:val="20"/>
                <w:lang w:val="lv-LV"/>
              </w:rPr>
            </w:pPr>
            <w:r w:rsidRPr="00A7652E">
              <w:rPr>
                <w:rFonts w:ascii="Times New Roman" w:hAnsi="Times New Roman" w:cs="Times New Roman"/>
                <w:b/>
                <w:sz w:val="20"/>
                <w:szCs w:val="20"/>
                <w:lang w:val="lv-LV"/>
              </w:rPr>
              <w:t>2018.gads:</w:t>
            </w:r>
          </w:p>
        </w:tc>
        <w:tc>
          <w:tcPr>
            <w:tcW w:w="3016" w:type="dxa"/>
            <w:tcBorders>
              <w:top w:val="double" w:sz="4" w:space="0" w:color="auto"/>
              <w:left w:val="double" w:sz="4" w:space="0" w:color="auto"/>
              <w:right w:val="double" w:sz="4" w:space="0" w:color="auto"/>
            </w:tcBorders>
            <w:shd w:val="clear" w:color="auto" w:fill="auto"/>
          </w:tcPr>
          <w:p w14:paraId="17CA1D61"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3FD5BF7F"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B1156E" w14:paraId="53B0B230" w14:textId="77777777" w:rsidTr="00BE19FC">
        <w:tc>
          <w:tcPr>
            <w:tcW w:w="3016" w:type="dxa"/>
            <w:tcBorders>
              <w:left w:val="double" w:sz="4" w:space="0" w:color="auto"/>
              <w:right w:val="double" w:sz="4" w:space="0" w:color="auto"/>
            </w:tcBorders>
            <w:shd w:val="clear" w:color="auto" w:fill="auto"/>
          </w:tcPr>
          <w:p w14:paraId="1D598FA3"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Saistītie lietotāji</w:t>
            </w:r>
          </w:p>
        </w:tc>
        <w:tc>
          <w:tcPr>
            <w:tcW w:w="3016" w:type="dxa"/>
            <w:tcBorders>
              <w:left w:val="double" w:sz="4" w:space="0" w:color="auto"/>
              <w:right w:val="double" w:sz="4" w:space="0" w:color="auto"/>
            </w:tcBorders>
            <w:shd w:val="clear" w:color="auto" w:fill="auto"/>
          </w:tcPr>
          <w:p w14:paraId="0FE80F59"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1351</w:t>
            </w:r>
          </w:p>
        </w:tc>
        <w:tc>
          <w:tcPr>
            <w:tcW w:w="3016" w:type="dxa"/>
            <w:tcBorders>
              <w:left w:val="double" w:sz="4" w:space="0" w:color="auto"/>
              <w:right w:val="double" w:sz="4" w:space="0" w:color="auto"/>
            </w:tcBorders>
            <w:shd w:val="clear" w:color="auto" w:fill="auto"/>
          </w:tcPr>
          <w:p w14:paraId="54A18679"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870</w:t>
            </w:r>
          </w:p>
        </w:tc>
      </w:tr>
      <w:tr w:rsidR="00B1156E" w14:paraId="2DBE3B93" w14:textId="77777777" w:rsidTr="00BE19FC">
        <w:tc>
          <w:tcPr>
            <w:tcW w:w="3016" w:type="dxa"/>
            <w:tcBorders>
              <w:left w:val="double" w:sz="4" w:space="0" w:color="auto"/>
              <w:bottom w:val="double" w:sz="4" w:space="0" w:color="auto"/>
              <w:right w:val="double" w:sz="4" w:space="0" w:color="auto"/>
            </w:tcBorders>
            <w:shd w:val="clear" w:color="auto" w:fill="auto"/>
          </w:tcPr>
          <w:p w14:paraId="3CB0BA4C"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Tirgus dalībnieki</w:t>
            </w:r>
          </w:p>
        </w:tc>
        <w:tc>
          <w:tcPr>
            <w:tcW w:w="3016" w:type="dxa"/>
            <w:tcBorders>
              <w:left w:val="double" w:sz="4" w:space="0" w:color="auto"/>
              <w:bottom w:val="double" w:sz="4" w:space="0" w:color="auto"/>
              <w:right w:val="double" w:sz="4" w:space="0" w:color="auto"/>
            </w:tcBorders>
            <w:shd w:val="clear" w:color="auto" w:fill="auto"/>
          </w:tcPr>
          <w:p w14:paraId="62E7CDCC"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291</w:t>
            </w:r>
          </w:p>
        </w:tc>
        <w:tc>
          <w:tcPr>
            <w:tcW w:w="3016" w:type="dxa"/>
            <w:tcBorders>
              <w:left w:val="double" w:sz="4" w:space="0" w:color="auto"/>
              <w:bottom w:val="double" w:sz="4" w:space="0" w:color="auto"/>
              <w:right w:val="double" w:sz="4" w:space="0" w:color="auto"/>
            </w:tcBorders>
            <w:shd w:val="clear" w:color="auto" w:fill="auto"/>
          </w:tcPr>
          <w:p w14:paraId="71CF034B"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101</w:t>
            </w:r>
          </w:p>
        </w:tc>
      </w:tr>
      <w:tr w:rsidR="00B1156E" w14:paraId="074C4707" w14:textId="77777777" w:rsidTr="00BE19FC">
        <w:tc>
          <w:tcPr>
            <w:tcW w:w="3016" w:type="dxa"/>
            <w:tcBorders>
              <w:top w:val="double" w:sz="4" w:space="0" w:color="auto"/>
              <w:left w:val="double" w:sz="4" w:space="0" w:color="auto"/>
              <w:right w:val="double" w:sz="4" w:space="0" w:color="auto"/>
            </w:tcBorders>
            <w:shd w:val="clear" w:color="auto" w:fill="auto"/>
          </w:tcPr>
          <w:p w14:paraId="76003C75"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021C4E57"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12F62092"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B1156E" w14:paraId="4AE04501" w14:textId="77777777" w:rsidTr="00BE19FC">
        <w:tc>
          <w:tcPr>
            <w:tcW w:w="3016" w:type="dxa"/>
            <w:tcBorders>
              <w:left w:val="double" w:sz="4" w:space="0" w:color="auto"/>
              <w:right w:val="double" w:sz="4" w:space="0" w:color="auto"/>
            </w:tcBorders>
            <w:shd w:val="clear" w:color="auto" w:fill="auto"/>
          </w:tcPr>
          <w:p w14:paraId="144D94B0"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b/>
                <w:sz w:val="20"/>
                <w:szCs w:val="20"/>
                <w:lang w:val="lv-LV"/>
              </w:rPr>
            </w:pPr>
            <w:r w:rsidRPr="00A7652E">
              <w:rPr>
                <w:rFonts w:ascii="Times New Roman" w:hAnsi="Times New Roman" w:cs="Times New Roman"/>
                <w:b/>
                <w:sz w:val="20"/>
                <w:szCs w:val="20"/>
                <w:lang w:val="lv-LV"/>
              </w:rPr>
              <w:t>2019.gads:</w:t>
            </w:r>
          </w:p>
        </w:tc>
        <w:tc>
          <w:tcPr>
            <w:tcW w:w="3016" w:type="dxa"/>
            <w:tcBorders>
              <w:left w:val="double" w:sz="4" w:space="0" w:color="auto"/>
              <w:right w:val="double" w:sz="4" w:space="0" w:color="auto"/>
            </w:tcBorders>
            <w:shd w:val="clear" w:color="auto" w:fill="auto"/>
          </w:tcPr>
          <w:p w14:paraId="7F4DDFCD"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left w:val="double" w:sz="4" w:space="0" w:color="auto"/>
              <w:right w:val="double" w:sz="4" w:space="0" w:color="auto"/>
            </w:tcBorders>
            <w:shd w:val="clear" w:color="auto" w:fill="auto"/>
          </w:tcPr>
          <w:p w14:paraId="698FC0B1"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B1156E" w14:paraId="21DAF1A3" w14:textId="77777777" w:rsidTr="00BE19FC">
        <w:tc>
          <w:tcPr>
            <w:tcW w:w="3016" w:type="dxa"/>
            <w:tcBorders>
              <w:left w:val="double" w:sz="4" w:space="0" w:color="auto"/>
              <w:right w:val="double" w:sz="4" w:space="0" w:color="auto"/>
            </w:tcBorders>
            <w:shd w:val="clear" w:color="auto" w:fill="auto"/>
          </w:tcPr>
          <w:p w14:paraId="18C41720" w14:textId="77777777" w:rsidR="008C3BBA" w:rsidRPr="00A7652E" w:rsidRDefault="003A7678" w:rsidP="00BE19FC">
            <w:pPr>
              <w:jc w:val="center"/>
              <w:rPr>
                <w:rFonts w:eastAsia="Calibri"/>
                <w:sz w:val="20"/>
                <w:szCs w:val="20"/>
              </w:rPr>
            </w:pPr>
            <w:proofErr w:type="spellStart"/>
            <w:r w:rsidRPr="00A7652E">
              <w:rPr>
                <w:rFonts w:eastAsia="Calibri"/>
                <w:sz w:val="20"/>
                <w:szCs w:val="20"/>
              </w:rPr>
              <w:t>Saistītie</w:t>
            </w:r>
            <w:proofErr w:type="spellEnd"/>
            <w:r w:rsidRPr="00A7652E">
              <w:rPr>
                <w:rFonts w:eastAsia="Calibri"/>
                <w:sz w:val="20"/>
                <w:szCs w:val="20"/>
              </w:rPr>
              <w:t xml:space="preserve"> </w:t>
            </w:r>
            <w:proofErr w:type="spellStart"/>
            <w:r w:rsidRPr="00A7652E">
              <w:rPr>
                <w:rFonts w:eastAsia="Calibri"/>
                <w:sz w:val="20"/>
                <w:szCs w:val="20"/>
              </w:rPr>
              <w:t>lietotāji</w:t>
            </w:r>
            <w:proofErr w:type="spellEnd"/>
          </w:p>
        </w:tc>
        <w:tc>
          <w:tcPr>
            <w:tcW w:w="3016" w:type="dxa"/>
            <w:tcBorders>
              <w:left w:val="double" w:sz="4" w:space="0" w:color="auto"/>
              <w:right w:val="double" w:sz="4" w:space="0" w:color="auto"/>
            </w:tcBorders>
            <w:shd w:val="clear" w:color="auto" w:fill="auto"/>
          </w:tcPr>
          <w:p w14:paraId="35B7DF59"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2298</w:t>
            </w:r>
          </w:p>
        </w:tc>
        <w:tc>
          <w:tcPr>
            <w:tcW w:w="3016" w:type="dxa"/>
            <w:tcBorders>
              <w:left w:val="double" w:sz="4" w:space="0" w:color="auto"/>
              <w:right w:val="double" w:sz="4" w:space="0" w:color="auto"/>
            </w:tcBorders>
            <w:shd w:val="clear" w:color="auto" w:fill="auto"/>
          </w:tcPr>
          <w:p w14:paraId="6A002010"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1318</w:t>
            </w:r>
          </w:p>
        </w:tc>
      </w:tr>
      <w:tr w:rsidR="00B1156E" w14:paraId="7B2AFF98" w14:textId="77777777" w:rsidTr="00BE19FC">
        <w:tc>
          <w:tcPr>
            <w:tcW w:w="3016" w:type="dxa"/>
            <w:tcBorders>
              <w:left w:val="double" w:sz="4" w:space="0" w:color="auto"/>
              <w:bottom w:val="double" w:sz="4" w:space="0" w:color="auto"/>
              <w:right w:val="double" w:sz="4" w:space="0" w:color="auto"/>
            </w:tcBorders>
            <w:shd w:val="clear" w:color="auto" w:fill="auto"/>
          </w:tcPr>
          <w:p w14:paraId="6774BC4D" w14:textId="77777777" w:rsidR="008C3BBA" w:rsidRPr="00A7652E" w:rsidRDefault="003A7678" w:rsidP="00BE19FC">
            <w:pPr>
              <w:jc w:val="center"/>
              <w:rPr>
                <w:rFonts w:eastAsia="Calibri"/>
                <w:sz w:val="20"/>
                <w:szCs w:val="20"/>
              </w:rPr>
            </w:pPr>
            <w:proofErr w:type="spellStart"/>
            <w:r w:rsidRPr="00A7652E">
              <w:rPr>
                <w:rFonts w:eastAsia="Calibri"/>
                <w:sz w:val="20"/>
                <w:szCs w:val="20"/>
              </w:rPr>
              <w:t>Tirgus</w:t>
            </w:r>
            <w:proofErr w:type="spellEnd"/>
            <w:r w:rsidRPr="00A7652E">
              <w:rPr>
                <w:rFonts w:eastAsia="Calibri"/>
                <w:sz w:val="20"/>
                <w:szCs w:val="20"/>
              </w:rPr>
              <w:t xml:space="preserve"> </w:t>
            </w:r>
            <w:proofErr w:type="spellStart"/>
            <w:r w:rsidRPr="00A7652E">
              <w:rPr>
                <w:rFonts w:eastAsia="Calibri"/>
                <w:sz w:val="20"/>
                <w:szCs w:val="20"/>
              </w:rPr>
              <w:t>dalībnieki</w:t>
            </w:r>
            <w:proofErr w:type="spellEnd"/>
          </w:p>
        </w:tc>
        <w:tc>
          <w:tcPr>
            <w:tcW w:w="3016" w:type="dxa"/>
            <w:tcBorders>
              <w:left w:val="double" w:sz="4" w:space="0" w:color="auto"/>
              <w:bottom w:val="double" w:sz="4" w:space="0" w:color="auto"/>
              <w:right w:val="double" w:sz="4" w:space="0" w:color="auto"/>
            </w:tcBorders>
            <w:shd w:val="clear" w:color="auto" w:fill="auto"/>
          </w:tcPr>
          <w:p w14:paraId="0468B7C2"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427</w:t>
            </w:r>
          </w:p>
        </w:tc>
        <w:tc>
          <w:tcPr>
            <w:tcW w:w="3016" w:type="dxa"/>
            <w:tcBorders>
              <w:left w:val="double" w:sz="4" w:space="0" w:color="auto"/>
              <w:bottom w:val="double" w:sz="4" w:space="0" w:color="auto"/>
              <w:right w:val="double" w:sz="4" w:space="0" w:color="auto"/>
            </w:tcBorders>
            <w:shd w:val="clear" w:color="auto" w:fill="auto"/>
          </w:tcPr>
          <w:p w14:paraId="405E4287"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72</w:t>
            </w:r>
          </w:p>
        </w:tc>
      </w:tr>
      <w:tr w:rsidR="00B1156E" w14:paraId="131997DD" w14:textId="77777777" w:rsidTr="00BE19FC">
        <w:tc>
          <w:tcPr>
            <w:tcW w:w="3016" w:type="dxa"/>
            <w:tcBorders>
              <w:top w:val="double" w:sz="4" w:space="0" w:color="auto"/>
              <w:left w:val="double" w:sz="4" w:space="0" w:color="auto"/>
              <w:right w:val="double" w:sz="4" w:space="0" w:color="auto"/>
            </w:tcBorders>
            <w:shd w:val="clear" w:color="auto" w:fill="auto"/>
          </w:tcPr>
          <w:p w14:paraId="3B9C6028"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7921B4C5"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top w:val="double" w:sz="4" w:space="0" w:color="auto"/>
              <w:left w:val="double" w:sz="4" w:space="0" w:color="auto"/>
              <w:right w:val="double" w:sz="4" w:space="0" w:color="auto"/>
            </w:tcBorders>
            <w:shd w:val="clear" w:color="auto" w:fill="auto"/>
          </w:tcPr>
          <w:p w14:paraId="1D20EC65"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B1156E" w14:paraId="5CA3E0D8" w14:textId="77777777" w:rsidTr="00BE19FC">
        <w:tc>
          <w:tcPr>
            <w:tcW w:w="3016" w:type="dxa"/>
            <w:tcBorders>
              <w:left w:val="double" w:sz="4" w:space="0" w:color="auto"/>
              <w:right w:val="double" w:sz="4" w:space="0" w:color="auto"/>
            </w:tcBorders>
            <w:shd w:val="clear" w:color="auto" w:fill="auto"/>
          </w:tcPr>
          <w:p w14:paraId="57E3C377"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b/>
                <w:sz w:val="20"/>
                <w:szCs w:val="20"/>
                <w:lang w:val="lv-LV"/>
              </w:rPr>
              <w:t>2020.gads</w:t>
            </w:r>
            <w:r w:rsidRPr="00A7652E">
              <w:rPr>
                <w:rFonts w:ascii="Times New Roman" w:hAnsi="Times New Roman" w:cs="Times New Roman"/>
                <w:sz w:val="20"/>
                <w:szCs w:val="20"/>
                <w:lang w:val="lv-LV"/>
              </w:rPr>
              <w:t>:</w:t>
            </w:r>
          </w:p>
        </w:tc>
        <w:tc>
          <w:tcPr>
            <w:tcW w:w="3016" w:type="dxa"/>
            <w:tcBorders>
              <w:left w:val="double" w:sz="4" w:space="0" w:color="auto"/>
              <w:right w:val="double" w:sz="4" w:space="0" w:color="auto"/>
            </w:tcBorders>
            <w:shd w:val="clear" w:color="auto" w:fill="auto"/>
          </w:tcPr>
          <w:p w14:paraId="57CE7F53"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c>
          <w:tcPr>
            <w:tcW w:w="3016" w:type="dxa"/>
            <w:tcBorders>
              <w:left w:val="double" w:sz="4" w:space="0" w:color="auto"/>
              <w:right w:val="double" w:sz="4" w:space="0" w:color="auto"/>
            </w:tcBorders>
            <w:shd w:val="clear" w:color="auto" w:fill="auto"/>
          </w:tcPr>
          <w:p w14:paraId="27F77DDA" w14:textId="77777777" w:rsidR="008C3BBA" w:rsidRPr="00A7652E" w:rsidRDefault="008C3BBA"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p>
        </w:tc>
      </w:tr>
      <w:tr w:rsidR="00B1156E" w14:paraId="45FB321A" w14:textId="77777777" w:rsidTr="00BE19FC">
        <w:tc>
          <w:tcPr>
            <w:tcW w:w="3016" w:type="dxa"/>
            <w:tcBorders>
              <w:left w:val="double" w:sz="4" w:space="0" w:color="auto"/>
              <w:right w:val="double" w:sz="4" w:space="0" w:color="auto"/>
            </w:tcBorders>
            <w:shd w:val="clear" w:color="auto" w:fill="auto"/>
          </w:tcPr>
          <w:p w14:paraId="15F5B7B5" w14:textId="77777777" w:rsidR="008C3BBA" w:rsidRPr="00A7652E" w:rsidRDefault="003A7678" w:rsidP="00BE19FC">
            <w:pPr>
              <w:jc w:val="center"/>
              <w:rPr>
                <w:rFonts w:eastAsia="Calibri"/>
                <w:sz w:val="20"/>
                <w:szCs w:val="20"/>
              </w:rPr>
            </w:pPr>
            <w:proofErr w:type="spellStart"/>
            <w:r w:rsidRPr="00A7652E">
              <w:rPr>
                <w:rFonts w:eastAsia="Calibri"/>
                <w:sz w:val="20"/>
                <w:szCs w:val="20"/>
              </w:rPr>
              <w:t>Saistītie</w:t>
            </w:r>
            <w:proofErr w:type="spellEnd"/>
            <w:r w:rsidRPr="00A7652E">
              <w:rPr>
                <w:rFonts w:eastAsia="Calibri"/>
                <w:sz w:val="20"/>
                <w:szCs w:val="20"/>
              </w:rPr>
              <w:t xml:space="preserve"> </w:t>
            </w:r>
            <w:proofErr w:type="spellStart"/>
            <w:r w:rsidRPr="00A7652E">
              <w:rPr>
                <w:rFonts w:eastAsia="Calibri"/>
                <w:sz w:val="20"/>
                <w:szCs w:val="20"/>
              </w:rPr>
              <w:t>lietotāji</w:t>
            </w:r>
            <w:proofErr w:type="spellEnd"/>
          </w:p>
        </w:tc>
        <w:tc>
          <w:tcPr>
            <w:tcW w:w="3016" w:type="dxa"/>
            <w:tcBorders>
              <w:left w:val="double" w:sz="4" w:space="0" w:color="auto"/>
              <w:right w:val="double" w:sz="4" w:space="0" w:color="auto"/>
            </w:tcBorders>
            <w:shd w:val="clear" w:color="auto" w:fill="auto"/>
          </w:tcPr>
          <w:p w14:paraId="0E954A30"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2364</w:t>
            </w:r>
          </w:p>
        </w:tc>
        <w:tc>
          <w:tcPr>
            <w:tcW w:w="3016" w:type="dxa"/>
            <w:tcBorders>
              <w:left w:val="double" w:sz="4" w:space="0" w:color="auto"/>
              <w:right w:val="double" w:sz="4" w:space="0" w:color="auto"/>
            </w:tcBorders>
            <w:shd w:val="clear" w:color="auto" w:fill="auto"/>
          </w:tcPr>
          <w:p w14:paraId="104BC618"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1051</w:t>
            </w:r>
          </w:p>
        </w:tc>
      </w:tr>
      <w:tr w:rsidR="00B1156E" w14:paraId="1A3E13AB" w14:textId="77777777" w:rsidTr="00BE19FC">
        <w:tc>
          <w:tcPr>
            <w:tcW w:w="3016" w:type="dxa"/>
            <w:tcBorders>
              <w:left w:val="double" w:sz="4" w:space="0" w:color="auto"/>
              <w:bottom w:val="double" w:sz="4" w:space="0" w:color="auto"/>
              <w:right w:val="double" w:sz="4" w:space="0" w:color="auto"/>
            </w:tcBorders>
            <w:shd w:val="clear" w:color="auto" w:fill="auto"/>
          </w:tcPr>
          <w:p w14:paraId="50BDEFCD" w14:textId="77777777" w:rsidR="008C3BBA" w:rsidRPr="00A7652E" w:rsidRDefault="003A7678" w:rsidP="00BE19FC">
            <w:pPr>
              <w:jc w:val="center"/>
              <w:rPr>
                <w:rFonts w:eastAsia="Calibri"/>
                <w:sz w:val="20"/>
                <w:szCs w:val="20"/>
              </w:rPr>
            </w:pPr>
            <w:proofErr w:type="spellStart"/>
            <w:r w:rsidRPr="00A7652E">
              <w:rPr>
                <w:rFonts w:eastAsia="Calibri"/>
                <w:sz w:val="20"/>
                <w:szCs w:val="20"/>
              </w:rPr>
              <w:t>Tirgus</w:t>
            </w:r>
            <w:proofErr w:type="spellEnd"/>
            <w:r w:rsidRPr="00A7652E">
              <w:rPr>
                <w:rFonts w:eastAsia="Calibri"/>
                <w:sz w:val="20"/>
                <w:szCs w:val="20"/>
              </w:rPr>
              <w:t xml:space="preserve"> </w:t>
            </w:r>
            <w:proofErr w:type="spellStart"/>
            <w:r w:rsidRPr="00A7652E">
              <w:rPr>
                <w:rFonts w:eastAsia="Calibri"/>
                <w:sz w:val="20"/>
                <w:szCs w:val="20"/>
              </w:rPr>
              <w:t>dalībnieki</w:t>
            </w:r>
            <w:proofErr w:type="spellEnd"/>
          </w:p>
        </w:tc>
        <w:tc>
          <w:tcPr>
            <w:tcW w:w="3016" w:type="dxa"/>
            <w:tcBorders>
              <w:left w:val="double" w:sz="4" w:space="0" w:color="auto"/>
              <w:bottom w:val="double" w:sz="4" w:space="0" w:color="auto"/>
              <w:right w:val="double" w:sz="4" w:space="0" w:color="auto"/>
            </w:tcBorders>
            <w:shd w:val="clear" w:color="auto" w:fill="auto"/>
          </w:tcPr>
          <w:p w14:paraId="21A57BF1"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512</w:t>
            </w:r>
          </w:p>
        </w:tc>
        <w:tc>
          <w:tcPr>
            <w:tcW w:w="3016" w:type="dxa"/>
            <w:tcBorders>
              <w:left w:val="double" w:sz="4" w:space="0" w:color="auto"/>
              <w:bottom w:val="double" w:sz="4" w:space="0" w:color="auto"/>
              <w:right w:val="double" w:sz="4" w:space="0" w:color="auto"/>
            </w:tcBorders>
            <w:shd w:val="clear" w:color="auto" w:fill="auto"/>
          </w:tcPr>
          <w:p w14:paraId="649098AD" w14:textId="77777777" w:rsidR="008C3BBA" w:rsidRPr="00A7652E" w:rsidRDefault="003A7678" w:rsidP="00BE19FC">
            <w:pPr>
              <w:pStyle w:val="Default"/>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sz w:val="20"/>
                <w:szCs w:val="20"/>
                <w:lang w:val="lv-LV"/>
              </w:rPr>
            </w:pPr>
            <w:r w:rsidRPr="00A7652E">
              <w:rPr>
                <w:rFonts w:ascii="Times New Roman" w:hAnsi="Times New Roman" w:cs="Times New Roman"/>
                <w:sz w:val="20"/>
                <w:szCs w:val="20"/>
                <w:lang w:val="lv-LV"/>
              </w:rPr>
              <w:t>120</w:t>
            </w:r>
          </w:p>
        </w:tc>
      </w:tr>
    </w:tbl>
    <w:p w14:paraId="5A855366" w14:textId="77777777" w:rsidR="008C3BBA" w:rsidRDefault="008C3BBA" w:rsidP="008C3BBA">
      <w:pPr>
        <w:pStyle w:val="Default"/>
        <w:ind w:firstLine="720"/>
        <w:jc w:val="both"/>
        <w:rPr>
          <w:rFonts w:ascii="Times New Roman" w:hAnsi="Times New Roman" w:cs="Times New Roman"/>
          <w:sz w:val="24"/>
          <w:szCs w:val="24"/>
          <w:lang w:val="lv-LV"/>
        </w:rPr>
      </w:pPr>
    </w:p>
    <w:p w14:paraId="47DD4672"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Vairākos objektos dabasgāzes piegādes pārtraukšanu nav izdevies realizēt līdz pat šim laikam.</w:t>
      </w:r>
    </w:p>
    <w:p w14:paraId="0EE46DD1"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Papildus vēršam uzmanību uz to, ka dabasgāzes tirgotājs </w:t>
      </w:r>
      <w:r w:rsidR="000374C7">
        <w:rPr>
          <w:rFonts w:ascii="Times New Roman" w:hAnsi="Times New Roman" w:cs="Times New Roman"/>
          <w:sz w:val="24"/>
          <w:szCs w:val="24"/>
          <w:lang w:val="lv-LV"/>
        </w:rPr>
        <w:t>u</w:t>
      </w:r>
      <w:r>
        <w:rPr>
          <w:rFonts w:ascii="Times New Roman" w:hAnsi="Times New Roman" w:cs="Times New Roman"/>
          <w:sz w:val="24"/>
          <w:szCs w:val="24"/>
          <w:lang w:val="lv-LV"/>
        </w:rPr>
        <w:t xml:space="preserve">zdot </w:t>
      </w:r>
      <w:r w:rsidR="000374C7">
        <w:rPr>
          <w:rFonts w:ascii="Times New Roman" w:hAnsi="Times New Roman" w:cs="Times New Roman"/>
          <w:sz w:val="24"/>
          <w:szCs w:val="24"/>
          <w:lang w:val="lv-LV"/>
        </w:rPr>
        <w:t>uzdev</w:t>
      </w:r>
      <w:r>
        <w:rPr>
          <w:rFonts w:ascii="Times New Roman" w:hAnsi="Times New Roman" w:cs="Times New Roman"/>
          <w:sz w:val="24"/>
          <w:szCs w:val="24"/>
          <w:lang w:val="lv-LV"/>
        </w:rPr>
        <w:t xml:space="preserve">umu par klienta atslēgšanu gadījumos, kad tiek izbeigts dabasgāzes tirdzniecības līgums vai dabasgāzes lietotājam ir izveidojies ievērojams parāds par izlietotu dabasgāzi un lietotājs ignorē tirgotāja brīdinājumus par nepieciešamību sakārtot parādsaistības. Bieži vien statistikā atspoguļotie klienti ir ne tikai ļaunprātīgie parādu nemaksātāji, bet arī tehniski neapkoptās, neatbilstošas vai pat paštaisīto gāzes iekārtu lietotāji, kā arī paštaisīto </w:t>
      </w:r>
      <w:proofErr w:type="spellStart"/>
      <w:r>
        <w:rPr>
          <w:rFonts w:ascii="Times New Roman" w:hAnsi="Times New Roman" w:cs="Times New Roman"/>
          <w:sz w:val="24"/>
          <w:szCs w:val="24"/>
          <w:lang w:val="lv-LV"/>
        </w:rPr>
        <w:t>pieslēgumu</w:t>
      </w:r>
      <w:proofErr w:type="spellEnd"/>
      <w:r>
        <w:rPr>
          <w:rFonts w:ascii="Times New Roman" w:hAnsi="Times New Roman" w:cs="Times New Roman"/>
          <w:sz w:val="24"/>
          <w:szCs w:val="24"/>
          <w:lang w:val="lv-LV"/>
        </w:rPr>
        <w:t xml:space="preserve"> ierīkotāji. Šādu iekārtu lietošana vai </w:t>
      </w:r>
      <w:proofErr w:type="spellStart"/>
      <w:r>
        <w:rPr>
          <w:rFonts w:ascii="Times New Roman" w:hAnsi="Times New Roman" w:cs="Times New Roman"/>
          <w:sz w:val="24"/>
          <w:szCs w:val="24"/>
          <w:lang w:val="lv-LV"/>
        </w:rPr>
        <w:t>pieslēgumu</w:t>
      </w:r>
      <w:proofErr w:type="spellEnd"/>
      <w:r>
        <w:rPr>
          <w:rFonts w:ascii="Times New Roman" w:hAnsi="Times New Roman" w:cs="Times New Roman"/>
          <w:sz w:val="24"/>
          <w:szCs w:val="24"/>
          <w:lang w:val="lv-LV"/>
        </w:rPr>
        <w:t xml:space="preserve"> izmantošana ir bīstama ne tikai pašam gāzes lietotājam, bet arī blakus esošo dzīvokļu iedzīvotāju dzīvībai, veselībai un īpašumam, jo kā ir zināms dabasgāze ir </w:t>
      </w:r>
      <w:proofErr w:type="spellStart"/>
      <w:r>
        <w:rPr>
          <w:rFonts w:ascii="Times New Roman" w:hAnsi="Times New Roman" w:cs="Times New Roman"/>
          <w:sz w:val="24"/>
          <w:szCs w:val="24"/>
          <w:lang w:val="lv-LV"/>
        </w:rPr>
        <w:t>sprādzienbīstama</w:t>
      </w:r>
      <w:proofErr w:type="spellEnd"/>
      <w:r>
        <w:rPr>
          <w:rFonts w:ascii="Times New Roman" w:hAnsi="Times New Roman" w:cs="Times New Roman"/>
          <w:sz w:val="24"/>
          <w:szCs w:val="24"/>
          <w:lang w:val="lv-LV"/>
        </w:rPr>
        <w:t>. Eksplozijai ir pietiekami ar 3-15% dabasgāzes koncentrācijas gaisā. Uzskatāma informācija par dabasgāzes sprādziena sekām ir pieejama interneta tīmekļa vietnēs un ir lieki atgādināt, ka tās lielākoties ir ievērojamas un atsevišķos gadījumos arī traģisk</w:t>
      </w:r>
      <w:r w:rsidR="000374C7">
        <w:rPr>
          <w:rFonts w:ascii="Times New Roman" w:hAnsi="Times New Roman" w:cs="Times New Roman"/>
          <w:sz w:val="24"/>
          <w:szCs w:val="24"/>
          <w:lang w:val="lv-LV"/>
        </w:rPr>
        <w:t>a</w:t>
      </w:r>
      <w:r>
        <w:rPr>
          <w:rFonts w:ascii="Times New Roman" w:hAnsi="Times New Roman" w:cs="Times New Roman"/>
          <w:sz w:val="24"/>
          <w:szCs w:val="24"/>
          <w:lang w:val="lv-LV"/>
        </w:rPr>
        <w:t xml:space="preserve">s. Piemēram, 2018.gadā patvaļīgas dabasgāzes </w:t>
      </w:r>
      <w:proofErr w:type="spellStart"/>
      <w:r>
        <w:rPr>
          <w:rFonts w:ascii="Times New Roman" w:hAnsi="Times New Roman" w:cs="Times New Roman"/>
          <w:sz w:val="24"/>
          <w:szCs w:val="24"/>
          <w:lang w:val="lv-LV"/>
        </w:rPr>
        <w:t>pieslēguma</w:t>
      </w:r>
      <w:proofErr w:type="spellEnd"/>
      <w:r>
        <w:rPr>
          <w:rFonts w:ascii="Times New Roman" w:hAnsi="Times New Roman" w:cs="Times New Roman"/>
          <w:sz w:val="24"/>
          <w:szCs w:val="24"/>
          <w:lang w:val="lv-LV"/>
        </w:rPr>
        <w:t xml:space="preserve"> ierīkošanas dēļ notika dabasgāzes sprādziens daudzdzīvokļu mājas dzīvoklī (Pērnavas iela 37. “a” – 53), diemžēl ar letāl</w:t>
      </w:r>
      <w:r w:rsidR="000374C7">
        <w:rPr>
          <w:rFonts w:ascii="Times New Roman" w:hAnsi="Times New Roman" w:cs="Times New Roman"/>
          <w:sz w:val="24"/>
          <w:szCs w:val="24"/>
          <w:lang w:val="lv-LV"/>
        </w:rPr>
        <w:t>u</w:t>
      </w:r>
      <w:r>
        <w:rPr>
          <w:rFonts w:ascii="Times New Roman" w:hAnsi="Times New Roman" w:cs="Times New Roman"/>
          <w:sz w:val="24"/>
          <w:szCs w:val="24"/>
          <w:lang w:val="lv-LV"/>
        </w:rPr>
        <w:t xml:space="preserve"> iznākumu. Nepieciešams atzīmēt, ka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jau pirms iepriekš minētā sprādziena konstatēja prettiesisku gāzes lietošanu objektā, bet nespēja atslēgt dabasgāzes piegādi, jo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darbinieki netika ielaisti attiecīgajā dzīvoklī. Problēmas risināšanai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pat oficiāli ir vērsusies pie daudzīvokļu mājas īpašnieka - Rīgas domes, bet arī tas nebija efektīvs un pietiekams traģēdijas novēršanai.</w:t>
      </w:r>
    </w:p>
    <w:p w14:paraId="6C559BB4"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Ievērojot iepriekš aprakstītos apstākļus,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uzskata, ka negodprātīgo dabasgāzes lietotāju mājokļa neaizskaramības tiesības ierobežošanu par samērīgu un atbilstošu Latvijas Republikas Satversmei un sabiedrības interesēm. Turklāt, </w:t>
      </w:r>
      <w:proofErr w:type="spellStart"/>
      <w:r>
        <w:rPr>
          <w:rFonts w:ascii="Times New Roman" w:hAnsi="Times New Roman" w:cs="Times New Roman"/>
          <w:sz w:val="24"/>
          <w:szCs w:val="24"/>
          <w:lang w:val="lv-LV"/>
        </w:rPr>
        <w:t>Gaso</w:t>
      </w:r>
      <w:proofErr w:type="spellEnd"/>
      <w:r>
        <w:rPr>
          <w:rFonts w:ascii="Times New Roman" w:hAnsi="Times New Roman" w:cs="Times New Roman"/>
          <w:sz w:val="24"/>
          <w:szCs w:val="24"/>
          <w:lang w:val="lv-LV"/>
        </w:rPr>
        <w:t xml:space="preserve"> piedāvātā regulējuma piemērošanai nenoliedzami būtu kritiskās nepieciešamības raksturs un tas netiktu izmantots ikdienā. Līdz ar to aicinām atgriezt atpakaļ likumprojektā, regulējumu par sadales sistēmas operatora tiesību pie attiecīgiem apstākļiem iekļūt gazificētajā objektā pret objekta īpašnieka vai valdītāja gribu.</w:t>
      </w:r>
    </w:p>
    <w:p w14:paraId="2B432BBF" w14:textId="77777777" w:rsidR="008C3BBA" w:rsidRDefault="003A7678" w:rsidP="008C3BBA">
      <w:pPr>
        <w:pStyle w:val="Default"/>
        <w:ind w:firstLine="720"/>
        <w:jc w:val="both"/>
        <w:rPr>
          <w:rFonts w:ascii="Times New Roman" w:hAnsi="Times New Roman" w:cs="Times New Roman"/>
          <w:sz w:val="24"/>
          <w:szCs w:val="24"/>
        </w:rPr>
      </w:pPr>
      <w:r w:rsidRPr="00E46242">
        <w:rPr>
          <w:rFonts w:ascii="Times New Roman" w:hAnsi="Times New Roman" w:cs="Times New Roman"/>
          <w:sz w:val="24"/>
          <w:szCs w:val="24"/>
          <w:lang w:val="lv-LV"/>
        </w:rPr>
        <w:t xml:space="preserve">10. Likumprojekta 25.pants paredz papildināt Likuma 51.pantu ar ceturto daļu nosakot, ka </w:t>
      </w:r>
      <w:r w:rsidRPr="00E46242">
        <w:rPr>
          <w:rFonts w:ascii="Times New Roman" w:hAnsi="Times New Roman" w:cs="Times New Roman"/>
          <w:sz w:val="24"/>
          <w:szCs w:val="24"/>
        </w:rPr>
        <w:t xml:space="preserve">pašvaldības ir tiesīgas saistošajos noteikumos noteikt priekšnoteikumus, kuriem izpildoties, </w:t>
      </w:r>
      <w:r w:rsidRPr="00E46242">
        <w:rPr>
          <w:rFonts w:ascii="Times New Roman" w:hAnsi="Times New Roman" w:cs="Times New Roman"/>
          <w:sz w:val="24"/>
          <w:szCs w:val="24"/>
        </w:rPr>
        <w:lastRenderedPageBreak/>
        <w:t>pašvaldībai ir tiesības neatļaut jaunu katlumāju būvniecības vai esošo katlumāju jaudas palielināšanas projektu īstenošanu</w:t>
      </w:r>
      <w:r>
        <w:rPr>
          <w:rFonts w:ascii="Times New Roman" w:hAnsi="Times New Roman" w:cs="Times New Roman"/>
          <w:sz w:val="24"/>
          <w:szCs w:val="24"/>
        </w:rPr>
        <w:t>.</w:t>
      </w:r>
    </w:p>
    <w:p w14:paraId="4AF212D5"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Vēršam uzmanību uz to, ka piedāvātais regulējums nav korekts, jo pašvaldība nevar noteikt apstākļus, kuros viņai pašai rodas ierobežojošas tiesības uz citu personu tiesību realizāciju. Jautājuma korektai noregulēšanai ierosinām priekšnoteikumus atrunāt Likumā vai paredzēt likumā pilnvarojumu priekšnoteikumu noteikšanai Ministru kabineta noteikumos.</w:t>
      </w:r>
    </w:p>
    <w:p w14:paraId="43C9440E"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11. Likumprojekta 27.pants paredz papildināt Likumu ar 58.</w:t>
      </w:r>
      <w:r>
        <w:rPr>
          <w:rFonts w:ascii="Times New Roman" w:hAnsi="Times New Roman" w:cs="Times New Roman"/>
          <w:sz w:val="24"/>
          <w:szCs w:val="24"/>
          <w:vertAlign w:val="superscript"/>
          <w:lang w:val="lv-LV"/>
        </w:rPr>
        <w:t>5</w:t>
      </w:r>
      <w:r>
        <w:rPr>
          <w:rFonts w:ascii="Times New Roman" w:hAnsi="Times New Roman" w:cs="Times New Roman"/>
          <w:sz w:val="24"/>
          <w:szCs w:val="24"/>
          <w:lang w:val="lv-LV"/>
        </w:rPr>
        <w:t> pantu, kura ceturtajā daļā ir paredzēts vienreizējs un terminēts uzdevums Ekonomikas ministrijai mācību programmu vai norādījumu izstrādāšanai.</w:t>
      </w:r>
    </w:p>
    <w:p w14:paraId="1B449C4A"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Atbilstoši juridiskās tehnikas prasībām ierosinām pārcelt to uz pārejas noteikumiem.</w:t>
      </w:r>
    </w:p>
    <w:p w14:paraId="322C7623"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12. Likumprojekta 27.pants paredz papildināt Likumu ar 58.</w:t>
      </w:r>
      <w:r>
        <w:rPr>
          <w:rFonts w:ascii="Times New Roman" w:hAnsi="Times New Roman" w:cs="Times New Roman"/>
          <w:sz w:val="24"/>
          <w:szCs w:val="24"/>
          <w:vertAlign w:val="superscript"/>
          <w:lang w:val="lv-LV"/>
        </w:rPr>
        <w:t>8</w:t>
      </w:r>
      <w:r>
        <w:rPr>
          <w:rFonts w:ascii="Times New Roman" w:hAnsi="Times New Roman" w:cs="Times New Roman"/>
          <w:sz w:val="24"/>
          <w:szCs w:val="24"/>
          <w:lang w:val="lv-LV"/>
        </w:rPr>
        <w:t xml:space="preserve"> pantu, kura četrpadsmitā daļa paredz, ka </w:t>
      </w:r>
      <w:r w:rsidRPr="009E3CB3">
        <w:rPr>
          <w:rFonts w:ascii="Times New Roman" w:hAnsi="Times New Roman" w:cs="Times New Roman"/>
          <w:sz w:val="24"/>
          <w:szCs w:val="24"/>
          <w:lang w:val="lv-LV"/>
        </w:rPr>
        <w:t xml:space="preserve">ar </w:t>
      </w:r>
      <w:bookmarkStart w:id="0" w:name="_Hlk80343197"/>
      <w:r w:rsidRPr="009E3CB3">
        <w:rPr>
          <w:rFonts w:ascii="Times New Roman" w:hAnsi="Times New Roman" w:cs="Times New Roman"/>
          <w:sz w:val="24"/>
          <w:szCs w:val="24"/>
          <w:lang w:val="lv-LV"/>
        </w:rPr>
        <w:t xml:space="preserve">izcelsmes apliecinājumu elektroniskā reģistra ieviešanu </w:t>
      </w:r>
      <w:bookmarkEnd w:id="0"/>
      <w:r w:rsidRPr="009E3CB3">
        <w:rPr>
          <w:rFonts w:ascii="Times New Roman" w:hAnsi="Times New Roman" w:cs="Times New Roman"/>
          <w:sz w:val="24"/>
          <w:szCs w:val="24"/>
          <w:lang w:val="lv-LV"/>
        </w:rPr>
        <w:t>saistītās izmaksas sedz vienotais dabasgāzes pārvades un uzglabāšanas sistēmas operators un tās iekļauj pārvades sistēmas pakalpojuma tarifos</w:t>
      </w:r>
      <w:r>
        <w:rPr>
          <w:rFonts w:ascii="Times New Roman" w:hAnsi="Times New Roman" w:cs="Times New Roman"/>
          <w:sz w:val="24"/>
          <w:szCs w:val="24"/>
          <w:lang w:val="lv-LV"/>
        </w:rPr>
        <w:t>.</w:t>
      </w:r>
    </w:p>
    <w:p w14:paraId="6EBCD97B" w14:textId="77777777" w:rsidR="008C3BBA" w:rsidRDefault="003A7678" w:rsidP="008C3BBA">
      <w:pPr>
        <w:pStyle w:val="Default"/>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Vēršam uzmanību uz to, ka ne visi pārvades sistēmas lietotāji nodarbosies ar atjaunojamo energoresursu ražošanu. Līdz ar to nav korekti uz visiem pārvades sistēmas lietotājiem vienlīdzīgi attiecināt pārvades sistēmas pakalpojuma tarifa daļu, kas būs saistīta ar </w:t>
      </w:r>
      <w:r w:rsidRPr="001C0503">
        <w:rPr>
          <w:rFonts w:ascii="Times New Roman" w:hAnsi="Times New Roman" w:cs="Times New Roman"/>
          <w:sz w:val="24"/>
          <w:szCs w:val="24"/>
          <w:lang w:val="lv-LV"/>
        </w:rPr>
        <w:t>izcelsmes apliecinājumu elektroniskā reģistra ieviešanu</w:t>
      </w:r>
      <w:r>
        <w:rPr>
          <w:rFonts w:ascii="Times New Roman" w:hAnsi="Times New Roman" w:cs="Times New Roman"/>
          <w:sz w:val="24"/>
          <w:szCs w:val="24"/>
          <w:lang w:val="lv-LV"/>
        </w:rPr>
        <w:t xml:space="preserve"> un uzturēšanu. Ierosinām visas izmaksas, kas ir saistītas ar izcelsmes sertifikātiem iekļaut to izsniegšanas maksā vai noteikt citu finansējuma avotu, piemēram, valsts dotācija.</w:t>
      </w:r>
    </w:p>
    <w:p w14:paraId="5DF0296F" w14:textId="77777777" w:rsidR="008C3BBA" w:rsidRDefault="003A7678" w:rsidP="008C3BBA">
      <w:pPr>
        <w:autoSpaceDE w:val="0"/>
        <w:autoSpaceDN w:val="0"/>
        <w:ind w:firstLine="709"/>
        <w:jc w:val="both"/>
        <w:rPr>
          <w:color w:val="000000"/>
          <w:lang w:val="lv-LV"/>
        </w:rPr>
      </w:pPr>
      <w:r>
        <w:rPr>
          <w:lang w:val="lv-LV"/>
        </w:rPr>
        <w:t xml:space="preserve">13. </w:t>
      </w:r>
      <w:r w:rsidRPr="00D91D05">
        <w:rPr>
          <w:color w:val="000000"/>
          <w:lang w:val="lv-LV"/>
        </w:rPr>
        <w:t xml:space="preserve">Likumprojekta </w:t>
      </w:r>
      <w:r>
        <w:rPr>
          <w:color w:val="000000"/>
          <w:lang w:val="lv-LV"/>
        </w:rPr>
        <w:t>43</w:t>
      </w:r>
      <w:r w:rsidRPr="00D91D05">
        <w:rPr>
          <w:color w:val="000000"/>
          <w:lang w:val="lv-LV"/>
        </w:rPr>
        <w:t>.pants paredz papildināt Likumu ar 117.</w:t>
      </w:r>
      <w:r w:rsidRPr="00D91D05">
        <w:rPr>
          <w:color w:val="000000"/>
          <w:vertAlign w:val="superscript"/>
          <w:lang w:val="lv-LV"/>
        </w:rPr>
        <w:t>1 </w:t>
      </w:r>
      <w:r w:rsidRPr="00D91D05">
        <w:rPr>
          <w:color w:val="000000"/>
          <w:lang w:val="lv-LV"/>
        </w:rPr>
        <w:t>pantu. Jauna panta regulējums paredz, ka Regulators reizi divos gados apstiprina dabasgāzes pārvades sistēmas attīstības 10 gadu plānu, kuru izstrādā dabasgāzes pārvades sistēmas operators, un dabasgāzes sadales sistēmas attīstības 10 gadu plānu, kuru izstrādā sadales sistēmas operators. Regulators uzrauga šo plānu izpildi.</w:t>
      </w:r>
    </w:p>
    <w:p w14:paraId="61727AF0" w14:textId="77777777" w:rsidR="008C3BBA" w:rsidRDefault="003A7678" w:rsidP="008C3BBA">
      <w:pPr>
        <w:autoSpaceDE w:val="0"/>
        <w:autoSpaceDN w:val="0"/>
        <w:ind w:firstLine="709"/>
        <w:jc w:val="both"/>
        <w:rPr>
          <w:lang w:val="lv-LV"/>
        </w:rPr>
      </w:pPr>
      <w:proofErr w:type="spellStart"/>
      <w:r>
        <w:rPr>
          <w:color w:val="000000"/>
          <w:lang w:val="lv-LV"/>
        </w:rPr>
        <w:t>Gaso</w:t>
      </w:r>
      <w:proofErr w:type="spellEnd"/>
      <w:r>
        <w:rPr>
          <w:color w:val="000000"/>
          <w:lang w:val="lv-LV"/>
        </w:rPr>
        <w:t xml:space="preserve"> informē, ka uztur spēkā iepriekšējos atzinumos pausto nostāju un neatbalsta starptautiskajos tiesību aktos neparedzētā pienākuma ieviešanu attiecībā uz sadales sistēmas operatoru. </w:t>
      </w:r>
      <w:proofErr w:type="spellStart"/>
      <w:r>
        <w:rPr>
          <w:lang w:val="lv-LV"/>
        </w:rPr>
        <w:t>Gaso</w:t>
      </w:r>
      <w:proofErr w:type="spellEnd"/>
      <w:r>
        <w:rPr>
          <w:lang w:val="lv-LV"/>
        </w:rPr>
        <w:t xml:space="preserve"> atkārtoti vērš uzmanību uz to, ka 10 gadu attīstības plāna ieviešana dabasgāzes sadales sistēmā radīs nevajadzīgu un nepamatotu administratīvo slogu. Šāda plāna gatavošanu mainīgajos tirgus un valsts politikas apstākļos uzskatām par nelietderīgu un tā gatavošanu par nesaimniecisku uzņēmuma resursu izšķērdēšanu.</w:t>
      </w:r>
    </w:p>
    <w:p w14:paraId="7FE32D70" w14:textId="77777777" w:rsidR="008C3BBA" w:rsidRDefault="003A7678" w:rsidP="008C3BBA">
      <w:pPr>
        <w:ind w:firstLine="720"/>
        <w:jc w:val="both"/>
        <w:rPr>
          <w:shd w:val="clear" w:color="auto" w:fill="FFFFFF"/>
          <w:lang w:val="lv-LV"/>
        </w:rPr>
      </w:pPr>
      <w:r>
        <w:rPr>
          <w:lang w:val="lv-LV"/>
        </w:rPr>
        <w:t xml:space="preserve">Ņemot vērā iepriekš minēto, kā arī iepriekšējos atzinumos sniegto argumentāciju </w:t>
      </w:r>
      <w:r>
        <w:rPr>
          <w:shd w:val="clear" w:color="auto" w:fill="FFFFFF"/>
          <w:lang w:val="lv-LV"/>
        </w:rPr>
        <w:t>uzskatām par nepieciešamību svītrot Likumprojektā paredzētajā Likuma 117.</w:t>
      </w:r>
      <w:r>
        <w:rPr>
          <w:shd w:val="clear" w:color="auto" w:fill="FFFFFF"/>
          <w:vertAlign w:val="superscript"/>
          <w:lang w:val="lv-LV"/>
        </w:rPr>
        <w:t>1</w:t>
      </w:r>
      <w:r>
        <w:rPr>
          <w:shd w:val="clear" w:color="auto" w:fill="FFFFFF"/>
          <w:lang w:val="lv-LV"/>
        </w:rPr>
        <w:t> pantā vārdus “</w:t>
      </w:r>
      <w:r w:rsidRPr="00D91D05">
        <w:rPr>
          <w:color w:val="000000"/>
          <w:lang w:val="lv-LV"/>
        </w:rPr>
        <w:t>un dabasgāzes sadales sistēmas attīstības 10 gadu plānu, kuru izstrādā sadales sistēmas operators</w:t>
      </w:r>
      <w:r>
        <w:rPr>
          <w:shd w:val="clear" w:color="auto" w:fill="FFFFFF"/>
          <w:lang w:val="lv-LV"/>
        </w:rPr>
        <w:t>”.</w:t>
      </w:r>
    </w:p>
    <w:p w14:paraId="4953233D" w14:textId="77777777" w:rsidR="008C3BBA" w:rsidRDefault="003A7678" w:rsidP="008C3BBA">
      <w:pPr>
        <w:ind w:firstLine="720"/>
        <w:jc w:val="both"/>
        <w:rPr>
          <w:lang w:val="lv-LV"/>
        </w:rPr>
      </w:pPr>
      <w:r>
        <w:rPr>
          <w:shd w:val="clear" w:color="auto" w:fill="FFFFFF"/>
          <w:lang w:val="lv-LV"/>
        </w:rPr>
        <w:t>Saistībā ar iepriekš minēto nostāju aicinām svītrot arī Likumprojekta 34.pantu</w:t>
      </w:r>
      <w:r w:rsidR="00A60532">
        <w:rPr>
          <w:shd w:val="clear" w:color="auto" w:fill="FFFFFF"/>
          <w:lang w:val="lv-LV"/>
        </w:rPr>
        <w:t>, kas paredz papildināt Likuma 100.pantu ar 7.punktu</w:t>
      </w:r>
      <w:r>
        <w:rPr>
          <w:shd w:val="clear" w:color="auto" w:fill="FFFFFF"/>
          <w:lang w:val="lv-LV"/>
        </w:rPr>
        <w:t>.</w:t>
      </w:r>
    </w:p>
    <w:p w14:paraId="157BB740" w14:textId="77777777" w:rsidR="008C3BBA" w:rsidRPr="00BC6227" w:rsidRDefault="008C3BBA" w:rsidP="008C3BBA">
      <w:pPr>
        <w:pStyle w:val="Default"/>
        <w:ind w:firstLine="720"/>
        <w:jc w:val="both"/>
        <w:rPr>
          <w:rFonts w:ascii="Times New Roman" w:hAnsi="Times New Roman" w:cs="Times New Roman"/>
          <w:sz w:val="24"/>
          <w:szCs w:val="24"/>
          <w:lang w:val="lv-LV"/>
        </w:rPr>
      </w:pPr>
    </w:p>
    <w:p w14:paraId="4631CECB" w14:textId="77777777" w:rsidR="00064AA3" w:rsidRDefault="00064AA3" w:rsidP="00064AA3">
      <w:pPr>
        <w:pStyle w:val="BodyB"/>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665"/>
      </w:tblGrid>
      <w:tr w:rsidR="00B1156E" w14:paraId="19F5ED89" w14:textId="77777777" w:rsidTr="00CF1CEA">
        <w:tc>
          <w:tcPr>
            <w:tcW w:w="4957" w:type="dxa"/>
            <w:hideMark/>
          </w:tcPr>
          <w:p w14:paraId="7FD71297" w14:textId="77777777" w:rsidR="00064AA3" w:rsidRDefault="003A7678" w:rsidP="00CF1CEA">
            <w:pPr>
              <w:pStyle w:val="BodyB"/>
              <w:ind w:left="-100"/>
              <w:rPr>
                <w:rFonts w:cs="Times New Roman"/>
              </w:rPr>
            </w:pPr>
            <w:r>
              <w:rPr>
                <w:rFonts w:cs="Times New Roman"/>
              </w:rPr>
              <w:t>Komercpilnvarniece</w:t>
            </w:r>
          </w:p>
          <w:p w14:paraId="78F12AAE" w14:textId="77777777" w:rsidR="00064AA3" w:rsidRDefault="003A7678" w:rsidP="00CF1CEA">
            <w:pPr>
              <w:pStyle w:val="BodyB"/>
              <w:ind w:left="-100"/>
              <w:rPr>
                <w:rFonts w:cs="Times New Roman"/>
              </w:rPr>
            </w:pPr>
            <w:r>
              <w:rPr>
                <w:rFonts w:cs="Times New Roman"/>
                <w:noProof/>
              </w:rPr>
              <w:t>Valdes priekšsēdētāja</w:t>
            </w:r>
          </w:p>
        </w:tc>
        <w:tc>
          <w:tcPr>
            <w:tcW w:w="4665" w:type="dxa"/>
          </w:tcPr>
          <w:p w14:paraId="56FF50EB" w14:textId="77777777" w:rsidR="00064AA3" w:rsidRDefault="00064AA3" w:rsidP="00CF1CEA">
            <w:pPr>
              <w:pStyle w:val="BodyB"/>
              <w:jc w:val="right"/>
              <w:rPr>
                <w:rFonts w:cs="Times New Roman"/>
              </w:rPr>
            </w:pPr>
          </w:p>
          <w:p w14:paraId="1BD01D04" w14:textId="77777777" w:rsidR="00064AA3" w:rsidRDefault="003A7678" w:rsidP="00CF1CEA">
            <w:pPr>
              <w:pStyle w:val="BodyB"/>
              <w:jc w:val="right"/>
              <w:rPr>
                <w:rFonts w:cs="Times New Roman"/>
              </w:rPr>
            </w:pPr>
            <w:r>
              <w:rPr>
                <w:rFonts w:cs="Times New Roman"/>
                <w:noProof/>
              </w:rPr>
              <w:t>Ilze Pētersone-Godmane</w:t>
            </w:r>
          </w:p>
        </w:tc>
      </w:tr>
      <w:tr w:rsidR="00B1156E" w14:paraId="67C3B93C" w14:textId="77777777" w:rsidTr="00CF1CEA">
        <w:tc>
          <w:tcPr>
            <w:tcW w:w="4957" w:type="dxa"/>
          </w:tcPr>
          <w:p w14:paraId="0AA65466" w14:textId="77777777" w:rsidR="00064AA3" w:rsidRDefault="00064AA3" w:rsidP="00CF1CEA">
            <w:pPr>
              <w:pStyle w:val="BodyB"/>
              <w:rPr>
                <w:rFonts w:ascii="Calibri" w:hAnsi="Calibri" w:cs="Times New Roman"/>
              </w:rPr>
            </w:pPr>
          </w:p>
        </w:tc>
        <w:tc>
          <w:tcPr>
            <w:tcW w:w="4665" w:type="dxa"/>
          </w:tcPr>
          <w:p w14:paraId="2A00864D" w14:textId="77777777" w:rsidR="00064AA3" w:rsidRDefault="00064AA3" w:rsidP="00CF1CEA">
            <w:pPr>
              <w:pStyle w:val="BodyB"/>
              <w:jc w:val="right"/>
              <w:rPr>
                <w:rFonts w:cs="Times New Roman"/>
              </w:rPr>
            </w:pPr>
          </w:p>
          <w:p w14:paraId="712D091E" w14:textId="77777777" w:rsidR="00064AA3" w:rsidRDefault="00064AA3" w:rsidP="00CF1CEA">
            <w:pPr>
              <w:pStyle w:val="BodyB"/>
              <w:jc w:val="right"/>
              <w:rPr>
                <w:rFonts w:cs="Times New Roman"/>
              </w:rPr>
            </w:pPr>
          </w:p>
        </w:tc>
      </w:tr>
      <w:tr w:rsidR="00B1156E" w14:paraId="60CC81D3" w14:textId="77777777" w:rsidTr="00CF1CEA">
        <w:tc>
          <w:tcPr>
            <w:tcW w:w="9622" w:type="dxa"/>
            <w:gridSpan w:val="2"/>
          </w:tcPr>
          <w:p w14:paraId="5AA61E05" w14:textId="77777777" w:rsidR="00064AA3" w:rsidRDefault="003A7678" w:rsidP="00CF1CEA">
            <w:pPr>
              <w:pStyle w:val="BodyB"/>
              <w:jc w:val="center"/>
              <w:rPr>
                <w:rFonts w:cs="Times New Roman"/>
                <w:sz w:val="20"/>
                <w:szCs w:val="20"/>
              </w:rPr>
            </w:pPr>
            <w:r>
              <w:rPr>
                <w:rFonts w:cs="Times New Roman"/>
                <w:sz w:val="20"/>
                <w:szCs w:val="20"/>
              </w:rPr>
              <w:t>DOKUMENTS PARAKSTĪTS AR DROŠU ELEKTRONISKO PARAKSTU UN SATUR LAIKA ZĪMOGU</w:t>
            </w:r>
          </w:p>
          <w:p w14:paraId="31DA7CE2" w14:textId="77777777" w:rsidR="00064AA3" w:rsidRDefault="00064AA3" w:rsidP="00CF1CEA">
            <w:pPr>
              <w:pStyle w:val="BodyB"/>
              <w:jc w:val="center"/>
              <w:rPr>
                <w:rFonts w:ascii="Calibri" w:hAnsi="Calibri" w:cs="Times New Roman"/>
              </w:rPr>
            </w:pPr>
          </w:p>
          <w:p w14:paraId="25F5C67D" w14:textId="77777777" w:rsidR="00064AA3" w:rsidRDefault="00064AA3" w:rsidP="00CF1CEA">
            <w:pPr>
              <w:pStyle w:val="BodyB"/>
              <w:rPr>
                <w:rFonts w:ascii="Calibri" w:hAnsi="Calibri" w:cs="Times New Roman"/>
              </w:rPr>
            </w:pPr>
          </w:p>
        </w:tc>
      </w:tr>
      <w:tr w:rsidR="00B1156E" w14:paraId="7A2A39EF" w14:textId="77777777" w:rsidTr="00CF1CEA">
        <w:tc>
          <w:tcPr>
            <w:tcW w:w="9622" w:type="dxa"/>
            <w:gridSpan w:val="2"/>
          </w:tcPr>
          <w:p w14:paraId="209D6262" w14:textId="77777777" w:rsidR="00064AA3" w:rsidRDefault="003A7678" w:rsidP="00CF1CEA">
            <w:pPr>
              <w:pStyle w:val="BodyB"/>
              <w:ind w:left="-100"/>
              <w:jc w:val="both"/>
              <w:rPr>
                <w:rFonts w:cs="Times New Roman"/>
                <w:sz w:val="20"/>
                <w:szCs w:val="20"/>
              </w:rPr>
            </w:pPr>
            <w:r>
              <w:rPr>
                <w:rFonts w:cs="Times New Roman"/>
                <w:noProof/>
                <w:sz w:val="20"/>
                <w:szCs w:val="20"/>
              </w:rPr>
              <w:t>Andris Lācis</w:t>
            </w:r>
            <w:r>
              <w:rPr>
                <w:rFonts w:cs="Times New Roman"/>
                <w:sz w:val="20"/>
                <w:szCs w:val="20"/>
              </w:rPr>
              <w:t xml:space="preserve"> </w:t>
            </w:r>
            <w:r>
              <w:rPr>
                <w:rFonts w:cs="Times New Roman"/>
                <w:noProof/>
                <w:sz w:val="20"/>
                <w:szCs w:val="20"/>
              </w:rPr>
              <w:t>67041653</w:t>
            </w:r>
          </w:p>
          <w:p w14:paraId="50D3FE33" w14:textId="77777777" w:rsidR="00064AA3" w:rsidRDefault="003A7678" w:rsidP="00CF1CEA">
            <w:pPr>
              <w:pStyle w:val="BodyB"/>
              <w:ind w:left="-100"/>
              <w:jc w:val="both"/>
              <w:rPr>
                <w:rFonts w:cs="Times New Roman"/>
                <w:sz w:val="20"/>
                <w:szCs w:val="20"/>
              </w:rPr>
            </w:pPr>
            <w:r>
              <w:rPr>
                <w:rFonts w:cs="Times New Roman"/>
                <w:noProof/>
                <w:sz w:val="20"/>
                <w:szCs w:val="20"/>
              </w:rPr>
              <w:t>Andris.Lacis@gaso.lv</w:t>
            </w:r>
          </w:p>
          <w:p w14:paraId="6FCBD7FF" w14:textId="77777777" w:rsidR="00064AA3" w:rsidRDefault="00064AA3" w:rsidP="00CF1CEA">
            <w:pPr>
              <w:pStyle w:val="BodyB"/>
              <w:rPr>
                <w:rFonts w:ascii="Calibri" w:hAnsi="Calibri" w:cs="Times New Roman"/>
                <w:sz w:val="16"/>
                <w:szCs w:val="16"/>
              </w:rPr>
            </w:pPr>
          </w:p>
        </w:tc>
      </w:tr>
    </w:tbl>
    <w:p w14:paraId="40FD8008" w14:textId="77777777" w:rsidR="00B93D45" w:rsidRPr="00B93D45" w:rsidRDefault="00B93D45" w:rsidP="00B93D45">
      <w:pPr>
        <w:rPr>
          <w:lang w:val="lv-LV"/>
        </w:rPr>
      </w:pPr>
    </w:p>
    <w:sectPr w:rsidR="00B93D45" w:rsidRPr="00B93D45" w:rsidSect="00B93D45">
      <w:headerReference w:type="first" r:id="rId7"/>
      <w:pgSz w:w="11900" w:h="16840" w:code="9"/>
      <w:pgMar w:top="1134" w:right="1134" w:bottom="1134"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EA593" w14:textId="77777777" w:rsidR="00034012" w:rsidRDefault="00034012">
      <w:r>
        <w:separator/>
      </w:r>
    </w:p>
  </w:endnote>
  <w:endnote w:type="continuationSeparator" w:id="0">
    <w:p w14:paraId="7F8C134F" w14:textId="77777777" w:rsidR="00034012" w:rsidRDefault="0003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BA"/>
    <w:family w:val="roman"/>
    <w:pitch w:val="variable"/>
    <w:sig w:usb0="E00006FF" w:usb1="420024FF" w:usb2="02000000" w:usb3="00000000" w:csb0="0000019F" w:csb1="00000000"/>
  </w:font>
  <w:font w:name="MS Minngs">
    <w:altName w:val="MS Gothic"/>
    <w:panose1 w:val="00000000000000000000"/>
    <w:charset w:val="80"/>
    <w:family w:val="roman"/>
    <w:notTrueType/>
    <w:pitch w:val="fixed"/>
    <w:sig w:usb0="00000001" w:usb1="08070000" w:usb2="00000010" w:usb3="00000000" w:csb0="00020000" w:csb1="00000000"/>
  </w:font>
  <w:font w:name="Times New Roman">
    <w:panose1 w:val="02020603050405020304"/>
    <w:charset w:val="BA"/>
    <w:family w:val="roman"/>
    <w:pitch w:val="variable"/>
    <w:sig w:usb0="E0002EFF" w:usb1="C000785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DF25DD" w14:textId="77777777" w:rsidR="00034012" w:rsidRDefault="00034012">
      <w:r>
        <w:separator/>
      </w:r>
    </w:p>
  </w:footnote>
  <w:footnote w:type="continuationSeparator" w:id="0">
    <w:p w14:paraId="50E604A0" w14:textId="77777777" w:rsidR="00034012" w:rsidRDefault="00034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3C1A5" w14:textId="77777777" w:rsidR="000064DB" w:rsidRDefault="003A7678">
    <w:pPr>
      <w:pStyle w:val="Header"/>
    </w:pPr>
    <w:r>
      <w:rPr>
        <w:noProof/>
      </w:rPr>
      <w:drawing>
        <wp:anchor distT="0" distB="0" distL="114300" distR="114300" simplePos="0" relativeHeight="251658240" behindDoc="1" locked="1" layoutInCell="1" allowOverlap="1" wp14:anchorId="1767DBA7" wp14:editId="0662494C">
          <wp:simplePos x="0" y="0"/>
          <wp:positionH relativeFrom="page">
            <wp:align>center</wp:align>
          </wp:positionH>
          <wp:positionV relativeFrom="page">
            <wp:align>top</wp:align>
          </wp:positionV>
          <wp:extent cx="7553325" cy="1543050"/>
          <wp:effectExtent l="0" t="0" r="0" b="0"/>
          <wp:wrapNone/>
          <wp:docPr id="4" name="Picture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2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59"/>
    <w:rsid w:val="000064DB"/>
    <w:rsid w:val="00034012"/>
    <w:rsid w:val="000374C7"/>
    <w:rsid w:val="000607D7"/>
    <w:rsid w:val="00064AA3"/>
    <w:rsid w:val="000F3A83"/>
    <w:rsid w:val="001245A9"/>
    <w:rsid w:val="001359CE"/>
    <w:rsid w:val="001C0503"/>
    <w:rsid w:val="00255B51"/>
    <w:rsid w:val="002F7DA5"/>
    <w:rsid w:val="0031563D"/>
    <w:rsid w:val="003833B2"/>
    <w:rsid w:val="003A7678"/>
    <w:rsid w:val="003B491E"/>
    <w:rsid w:val="00410C9C"/>
    <w:rsid w:val="00434A90"/>
    <w:rsid w:val="00443681"/>
    <w:rsid w:val="004D7BAD"/>
    <w:rsid w:val="005964DE"/>
    <w:rsid w:val="005B237C"/>
    <w:rsid w:val="006B66B8"/>
    <w:rsid w:val="0075154F"/>
    <w:rsid w:val="007838F3"/>
    <w:rsid w:val="00831B8C"/>
    <w:rsid w:val="008454CF"/>
    <w:rsid w:val="00861259"/>
    <w:rsid w:val="008C3BBA"/>
    <w:rsid w:val="008D64EC"/>
    <w:rsid w:val="009204D2"/>
    <w:rsid w:val="009807EC"/>
    <w:rsid w:val="009E3CB3"/>
    <w:rsid w:val="00A60532"/>
    <w:rsid w:val="00A7652E"/>
    <w:rsid w:val="00B1156E"/>
    <w:rsid w:val="00B75E00"/>
    <w:rsid w:val="00B93D45"/>
    <w:rsid w:val="00BA3CFF"/>
    <w:rsid w:val="00BC6227"/>
    <w:rsid w:val="00BE19FC"/>
    <w:rsid w:val="00C121FB"/>
    <w:rsid w:val="00C713D3"/>
    <w:rsid w:val="00CF1CEA"/>
    <w:rsid w:val="00D91D05"/>
    <w:rsid w:val="00E11AAE"/>
    <w:rsid w:val="00E33839"/>
    <w:rsid w:val="00E46242"/>
    <w:rsid w:val="00F57C92"/>
    <w:rsid w:val="00FC5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81FB6"/>
  <w15:chartTrackingRefBased/>
  <w15:docId w15:val="{4E9BCFAB-10C6-4C27-ABE2-3616A3847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ngs"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61259"/>
    <w:rPr>
      <w:rFonts w:ascii="Times New Roman" w:eastAsia="Times New Roman" w:hAnsi="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245A9"/>
    <w:rPr>
      <w:rFonts w:ascii="Lucida Grande" w:hAnsi="Lucida Grande" w:cs="Lucida Grande"/>
      <w:sz w:val="18"/>
      <w:szCs w:val="18"/>
    </w:rPr>
  </w:style>
  <w:style w:type="character" w:customStyle="1" w:styleId="BalloonTextChar">
    <w:name w:val="Balloon Text Char"/>
    <w:basedOn w:val="DefaultParagraphFont"/>
    <w:link w:val="BalloonText"/>
    <w:semiHidden/>
    <w:rsid w:val="001245A9"/>
    <w:rPr>
      <w:rFonts w:ascii="Lucida Grande" w:hAnsi="Lucida Grande" w:cs="Lucida Grande"/>
      <w:sz w:val="18"/>
      <w:szCs w:val="18"/>
    </w:rPr>
  </w:style>
  <w:style w:type="paragraph" w:styleId="Header">
    <w:name w:val="header"/>
    <w:basedOn w:val="Normal"/>
    <w:link w:val="HeaderChar"/>
    <w:rsid w:val="00C713D3"/>
    <w:pPr>
      <w:tabs>
        <w:tab w:val="center" w:pos="4320"/>
        <w:tab w:val="right" w:pos="8640"/>
      </w:tabs>
    </w:pPr>
  </w:style>
  <w:style w:type="character" w:customStyle="1" w:styleId="HeaderChar">
    <w:name w:val="Header Char"/>
    <w:basedOn w:val="DefaultParagraphFont"/>
    <w:link w:val="Header"/>
    <w:rsid w:val="00C713D3"/>
    <w:rPr>
      <w:rFonts w:cs="Times New Roman"/>
    </w:rPr>
  </w:style>
  <w:style w:type="paragraph" w:styleId="Footer">
    <w:name w:val="footer"/>
    <w:basedOn w:val="Normal"/>
    <w:link w:val="FooterChar"/>
    <w:rsid w:val="00C713D3"/>
    <w:pPr>
      <w:tabs>
        <w:tab w:val="center" w:pos="4320"/>
        <w:tab w:val="right" w:pos="8640"/>
      </w:tabs>
    </w:pPr>
  </w:style>
  <w:style w:type="character" w:customStyle="1" w:styleId="FooterChar">
    <w:name w:val="Footer Char"/>
    <w:basedOn w:val="DefaultParagraphFont"/>
    <w:link w:val="Footer"/>
    <w:rsid w:val="00C713D3"/>
    <w:rPr>
      <w:rFonts w:cs="Times New Roman"/>
    </w:rPr>
  </w:style>
  <w:style w:type="paragraph" w:customStyle="1" w:styleId="BodyB">
    <w:name w:val="Body B"/>
    <w:rsid w:val="00861259"/>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lv-LV" w:eastAsia="lv-LV"/>
    </w:rPr>
  </w:style>
  <w:style w:type="paragraph" w:customStyle="1" w:styleId="Default">
    <w:name w:val="Default"/>
    <w:rsid w:val="00861259"/>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eastAsia="lv-LV"/>
    </w:rPr>
  </w:style>
  <w:style w:type="table" w:styleId="TableGrid">
    <w:name w:val="Table Grid"/>
    <w:basedOn w:val="TableNormal"/>
    <w:uiPriority w:val="39"/>
    <w:rsid w:val="00064AA3"/>
    <w:rPr>
      <w:rFonts w:ascii="Calibri" w:eastAsia="Calibri" w:hAnsi="Calibri"/>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3BBA"/>
    <w:rPr>
      <w:color w:val="0563C1" w:themeColor="hyperlink"/>
      <w:u w:val="single"/>
    </w:rPr>
  </w:style>
  <w:style w:type="character" w:customStyle="1" w:styleId="UnresolvedMention1">
    <w:name w:val="Unresolved Mention1"/>
    <w:basedOn w:val="DefaultParagraphFont"/>
    <w:uiPriority w:val="99"/>
    <w:rsid w:val="008C3B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e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9629</Words>
  <Characters>5489</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Inese Karpoviča</cp:lastModifiedBy>
  <cp:revision>2</cp:revision>
  <cp:lastPrinted>1899-12-31T22:00:00Z</cp:lastPrinted>
  <dcterms:created xsi:type="dcterms:W3CDTF">2021-12-03T11:44:00Z</dcterms:created>
  <dcterms:modified xsi:type="dcterms:W3CDTF">2021-12-03T11:44:00Z</dcterms:modified>
</cp:coreProperties>
</file>