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23-TA-1047: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Autortiesību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15.05.2023. 16:31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“68.</w:t>
            </w:r>
            <w:r w:rsidR="00000000" w:rsidRPr="00000000" w:rsidDel="00000000">
              <w:rPr>
                <w:b w:val="1"/>
                <w:vertAlign w:val="superscript"/>
                <w:rtl w:val="0"/>
              </w:rPr>
              <w:t xml:space="preserve">1</w:t>
            </w:r>
            <w:r w:rsidR="00000000" w:rsidRPr="00000000" w:rsidDel="00000000">
              <w:rPr>
                <w:b w:val="1"/>
                <w:rtl w:val="0"/>
              </w:rPr>
              <w:t xml:space="preserve"> pants. Brīdinājums par autortiesību vai blakustiesību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autortiesību subjektam, blakustiesību subjektam vai licenciātam ir pamats uzskatīt, ka kāda persona pārkāpj vai drīzumā pārkāps viņa tiesības, viņš ir tiesīgs rakstveidā brīdināt šo personu par pārkāpumu vai iespējamu pārkāpumu. Brīdinājumā var ietvert prasību veikt noteiktas darbības vai atturēties no noteiktu darbību veikšanas autortiesību vai blakustiesību pārkāpuma pārtraukšanai vai iespējama pārkāpuma novēršanai, kā arī prasību atlīdzināt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Licenciāts ir tiesīgs nosūtīt brīdinājumu tikai tad, ja tas ir izpildījis šā likuma 69. panta otrajā daļā minētās prasības. Brīdinājumu ir tiesīga nosūtīt arī kolektīvā pārvaldījuma organizācija, taču tikai attiecībā uz tās pārstāvētajiem autortiesību vai blakustiesību subjektiem.”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Autortiesību likumā" (turpmāk - Likumprojekts) 2. pantā paredzēts papildināt Autortiesību likumu ar 68.</w:t>
            </w:r>
            <w:r w:rsidR="00000000" w:rsidRPr="00000000" w:rsidDel="00000000">
              <w:rPr>
                <w:vertAlign w:val="superscript"/>
                <w:rtl w:val="0"/>
              </w:rPr>
              <w:t xml:space="preserve">1</w:t>
            </w:r>
            <w:r w:rsidR="00000000" w:rsidRPr="00000000" w:rsidDel="00000000">
              <w:rPr>
                <w:rtl w:val="0"/>
              </w:rPr>
              <w:t xml:space="preserve"> pantu, kura pirmajā daļā noteikts, ka autortiesību subjektam, blakustiesību subjektam vai licenciātam </w:t>
            </w:r>
            <w:r w:rsidR="00000000" w:rsidRPr="00000000" w:rsidDel="00000000">
              <w:rPr>
                <w:u w:val="single"/>
                <w:rtl w:val="0"/>
              </w:rPr>
              <w:t xml:space="preserve">ir tiesības</w:t>
            </w:r>
            <w:r w:rsidR="00000000" w:rsidRPr="00000000" w:rsidDel="00000000">
              <w:rPr>
                <w:rtl w:val="0"/>
              </w:rPr>
              <w:t xml:space="preserve"> rakstveidā brīdināt personu par autortiesību pārkāpumu vai iespējamu pārkāpumu. Brīdinājumā </w:t>
            </w:r>
            <w:r w:rsidR="00000000" w:rsidRPr="00000000" w:rsidDel="00000000">
              <w:rPr>
                <w:u w:val="single"/>
                <w:rtl w:val="0"/>
              </w:rPr>
              <w:t xml:space="preserve">var ietvert</w:t>
            </w:r>
            <w:r w:rsidR="00000000" w:rsidRPr="00000000" w:rsidDel="00000000">
              <w:rPr>
                <w:rtl w:val="0"/>
              </w:rPr>
              <w:t xml:space="preserve"> prasību veikt noteiktas darbības vai atturēties no noteiktu darbību veikšanas autortiesību vai blakustiesību pārkāpuma pārtraukšanai vai iespējama pārkāpuma novēršanai, kā arī prasību atlīdzināt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ieskatā Likumprojektā nebūtu ietveramas tiesību normas bez "juridiskās slodzes", proti, konkrēti attiecībā uz šo tiesību normu nav skaidrs, kādēļ likumā būtu jānosaka tiesības rakstveidā brīdināt personas, tas ir, risināt strīdu ārpustiesas kārtībā pirms vēršanās tiesā, ja šādas tiesības pastāv jau šobrīd, t.i.,  jau šobrīd nevienam nav liegts risināt strīdus ārpustiesas kārtībā. Nav arī skaidrs, kā šādas tiesību normas ietveršana Likumprojektā varētu, kā anotācijā norādīts, sekmēt, ka "pārkāpumi pēc iespējas biežāk tiktu novērsti labprātīgi, savstarpēji vienojoties, bez tiesas iesaistes". Tieslietu ministrijas ieskatā, ja ir mērķis sekmēt strīdu risināšanu ārpus tiesas kārtībā, tad drīzāk ir apsverams, vai brīdinājuma nosūtīšana nebūtu nosakāma kā pienākums, vienlaikus tad būtu arī nosakāma kārtība, kādā brīdinājums paziņojams, lai tiktu pēc iespējas nodrošināts, ka brīdinājums saņemts, un šāda brīdinājuma esamībai/neesamībai attiecīgi varētu noteikt kādas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būtu izvērtējams Likumprojekta 5. pantā ietvertā Autortiesību likuma 69.</w:t>
            </w:r>
            <w:r w:rsidR="00000000" w:rsidRPr="00000000" w:rsidDel="00000000">
              <w:rPr>
                <w:vertAlign w:val="superscript"/>
                <w:rtl w:val="0"/>
              </w:rPr>
              <w:t xml:space="preserve">3 </w:t>
            </w:r>
            <w:r w:rsidR="00000000" w:rsidRPr="00000000" w:rsidDel="00000000">
              <w:rPr>
                <w:rtl w:val="0"/>
              </w:rPr>
              <w:t xml:space="preserve">panta ceturtajā daļā noteiktais, ka tiesa, lemjot par kaitējuma atlīdzību, ņem vērā šāda brīdinājuma saņemšanas faktu, jo no šī brīža tiesību normas redakcijas nav saprotams, kā tieši tiesai jāņem vērā saņemšanas fakts - kā tas ietekmē kaitējuma atlīdzības noteikšanu (tiesību normā būtu jābūt skaidrām tiesiskajām sekām). Vienlaikus Tieslietu ministrijas ieskatā šāda tiesību norma nav nepieciešama, jo nav pamata uzskatīt, ka tiesai, ja Autortiesību likumā šāda tiesību normas netiktu ietverta, nebūtu jāņem vērā pušu sniegtie argumenti un pierādījumi, vērtējot rīcības prettiesiskumu (vainojamību) kā vienu no delikttiesiskās atbildības priekšnoteikumiem, konkrētāk - vai persona zināja vai tai vajadzēja zināt,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šādas tiesību normas nepieciešamību panākta vienošanās Kultūras ministrijas izveidotajā Darba grupā autortiesību normatīvā regulējuma pilnveidei, kurā piedalās visas ieinteresētās puses, ņemot vērā to, ka minētā norma ir autortiesību īpašnieku interesēs un ka Preču zīmju likuma 21. panta trešajā daļā ietverts līdzīgs regulējums.” Kultūras ministrijas izveidotajā Darba grupā autortiesību normatīvā regulējuma pilnveidei (turpmāk - Darba grupa) tika diskutēts arī par iespēju paredzēt pienākumu brīdināt pārkāpēju, tomēr šāds risinājums netika atbalstīts, jo tika uzskatīts par pārmērīgu slogu tiesību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Darba grupā notika diskusijas un tika panākta vienošanās iekļaut Likumprojektā 69.</w:t>
            </w:r>
            <w:r w:rsidR="00000000" w:rsidRPr="00000000" w:rsidDel="00000000">
              <w:rPr>
                <w:vertAlign w:val="superscript"/>
                <w:rtl w:val="0"/>
              </w:rPr>
              <w:t xml:space="preserve">3 </w:t>
            </w:r>
            <w:r w:rsidR="00000000" w:rsidRPr="00000000" w:rsidDel="00000000">
              <w:rPr>
                <w:rtl w:val="0"/>
              </w:rPr>
              <w:t xml:space="preserve"> panta ceturto daļu, ņemot vērā līdzīgu regulējumu Preču zīmju likuma 56. panta ceturtajā daļā. Ņemams vērā, ka viens no Likumprojekta mērķiem ir nodrošināt vienveidīgu galīgo tiesiskās aizsardzības līdzekļu regulējumu visās intelektuālā īpašuma tiesību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69.</w:t>
            </w:r>
            <w:r w:rsidR="00000000" w:rsidRPr="00000000" w:rsidDel="00000000">
              <w:rPr>
                <w:vertAlign w:val="superscript"/>
                <w:rtl w:val="0"/>
              </w:rPr>
              <w:t xml:space="preserve">3</w:t>
            </w:r>
            <w:r w:rsidR="00000000" w:rsidRPr="00000000" w:rsidDel="00000000">
              <w:rPr>
                <w:rtl w:val="0"/>
              </w:rPr>
              <w:t xml:space="preserve"> panta pirmo daļu kaitējuma atlīdzību var prasīt tikai no personas, kura zināja vai kurai bija jāzina, ka tā pārkāpj autortiesības vai blakustiesības, iepriekš minētais brīdinājums ir viens no veidiem, kā tiesa var noteikt šī priekšnoteikuma (proti, ka persona zināja, ka tā pārkāpj autortiesības vai blakustiesības) izpildīšanos. Minētais priekšnoteikums izriet no Piemērošanas direktīvas 13. panta 1. punkta, un tas atspoguļo intelektuālā īpašuma tiesībām raksturīgo principu, ka kaitējuma atlīdzību var prasīt tikai par vainojamu pārkāpumu (European Copyright Law. A Commentary. Walter, M. M. (Ed.), Lewinski, S. (Ed.). New York: Oxford University Press, 2010. – p. 1307-1308). Līdzīgs regulējums ir arī Preču zīmju likuma 56.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ņemams vērā, ka brīdinājuma nosūtīšana saskaņā ar 68.</w:t>
            </w:r>
            <w:r w:rsidR="00000000" w:rsidRPr="00000000" w:rsidDel="00000000">
              <w:rPr>
                <w:vertAlign w:val="superscript"/>
                <w:rtl w:val="0"/>
              </w:rPr>
              <w:t xml:space="preserve">1</w:t>
            </w:r>
            <w:r w:rsidR="00000000" w:rsidRPr="00000000" w:rsidDel="00000000">
              <w:rPr>
                <w:rtl w:val="0"/>
              </w:rPr>
              <w:t xml:space="preserve"> panta pirmo daļu nav obligāta. Taču, tā kā prasītājam (autortiesību vai blakustiesību subjektam) ir pienākums pierādīt, ka pārkāpējs zināja vai tam bija jāzina, ka tas pārkāpj autortiesības vai blakustiesības, autortiesību un blakustiesību subjekta interesēs ir šādu brīdinājumu nosūtīt.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sakarā būtu piemērojama Augstākās tiesas Senāta Civillietu departamenta 2020. gada 3. decembra spriedumā SKC-12/2020 paustā atziņa, ka, esot pierādījumiem par atgādinājuma nosūtīšanu parādniekam, kreditoram nav pienākuma pierādīt faktu, ka parādnieks šo atgādinājumu patiešām saņēmis. Tādējādi, konstatējot, ka autortiesību un blakustiesību subjekts ir nosūtījis brīdinājumu, tiek pieņemts, ka pārkāpējs to ir saņēmis."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“68.</w:t>
            </w:r>
            <w:r w:rsidR="00000000" w:rsidRPr="00000000" w:rsidDel="00000000">
              <w:rPr>
                <w:b w:val="1"/>
                <w:vertAlign w:val="superscript"/>
                <w:rtl w:val="0"/>
              </w:rPr>
              <w:t xml:space="preserve">1</w:t>
            </w:r>
            <w:r w:rsidR="00000000" w:rsidRPr="00000000" w:rsidDel="00000000">
              <w:rPr>
                <w:b w:val="1"/>
                <w:rtl w:val="0"/>
              </w:rPr>
              <w:t xml:space="preserve"> pants. Brīdinājums par autortiesību vai blakustiesību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autortiesību subjektam, blakustiesību subjektam vai licenciātam ir pamats uzskatīt, ka kāda persona pārkāpj vai drīzumā pārkāps viņa tiesības, viņš ir tiesīgs rakstveidā brīdināt šo personu par pārkāpumu vai iespējamu pārkāpumu. Brīdinājumā var ietvert prasību veikt noteiktas darbības vai atturēties no noteiktu darbību veikšanas autortiesību vai blakustiesību pārkāpuma pārtraukšanai vai iespējama pārkāpuma novēršanai, kā arī prasību atlīdzināt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Licenciāts ir tiesīgs nosūtīt brīdinājumu tikai tad, ja tas ir izpildījis šā likuma 69. panta otrajā daļā minētās prasības. Brīdinājumu ir tiesīga nosūtīt arī kolektīvā pārvaldījuma organizācija, taču tikai attiecībā uz tās pārstāvētajiem autortiesību vai blakustiesību subjektiem.”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69.</w:t>
            </w:r>
            <w:r w:rsidR="00000000" w:rsidRPr="00000000" w:rsidDel="00000000">
              <w:rPr>
                <w:b w:val="1"/>
                <w:vertAlign w:val="superscript"/>
                <w:rtl w:val="0"/>
              </w:rPr>
              <w:t xml:space="preserve">1</w:t>
            </w:r>
            <w:r w:rsidR="00000000" w:rsidRPr="00000000" w:rsidDel="00000000">
              <w:rPr>
                <w:b w:val="1"/>
                <w:rtl w:val="0"/>
              </w:rPr>
              <w:t xml:space="preserve"> pants. Civiltiesiskās aizsardzības līdzekļu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lietā par autortiesību vai blakustiesību pārkāpuma novēršanu tiek konstatēts pārkāpums, tiesa pēc autortiesību vai blakustiesību subjekta, kolektīvā pārvaldījuma organizācijas vai licenciāta lūguma var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piedziņa nav piemērojama nākotnē iespējama pārkāpuma gadījumā. Par nākotnē iespējamu pārkāpumu ir uzskatāms gadījums, kad tiek konstatēts, ka autortiesības vai blakustiesības var tikt pārkāptas vai tiks pārkāptas, jo iespējamais pārkāpējs pats vai ar citas personas palīdzību ir veicis pasākumus, kas atzīstami par sagatavošanos autortiesību vai blakustiesību pārkāpšanai.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vienlaikus ar šā panta pirmajā daļā minētajiem tiesiskās aizsardzības līdzekļiem pēc autortiesību vai blakustiesību subjekta, kolektīvā pārvaldījuma organizācijas vai licenciāta lūguma var piemērot vienu vai vairākus šādus tiesiskās aizsardzības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atsaukt vai izņemt no saimnieciskās aprites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vai daļēji iznīcināt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publiskot informāciju par spriedumu, tostarp pilnībā vai daļēji publiskot tiesas spriedumu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darbības izdarāmas par pārkāpēja līdzekļiem, ja vien prasītājs nav lūdzis to izdarīt par saviem līdzekļiem.”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pie pašreizējās situācijas apraksta ir norādīts, ka </w:t>
            </w:r>
            <w:r w:rsidR="00000000" w:rsidRPr="00000000" w:rsidDel="00000000">
              <w:rPr>
                <w:i w:val="1"/>
                <w:rtl w:val="0"/>
              </w:rPr>
              <w:t xml:space="preserve">"šobrīd galīgos tiesiskās aizsardzības līdzekļus autortiesību vai blakustiesību pārkāpuma gadījumā paredz gan Civilprocesa likuma 250.</w:t>
            </w:r>
            <w:r w:rsidR="00000000" w:rsidRPr="00000000" w:rsidDel="00000000">
              <w:rPr>
                <w:i w:val="1"/>
                <w:vertAlign w:val="superscript"/>
                <w:rtl w:val="0"/>
              </w:rPr>
              <w:t xml:space="preserve">17</w:t>
            </w:r>
            <w:r w:rsidR="00000000" w:rsidRPr="00000000" w:rsidDel="00000000">
              <w:rPr>
                <w:i w:val="1"/>
                <w:rtl w:val="0"/>
              </w:rPr>
              <w:t xml:space="preserve"> pants, gan Autortiesību likuma 69. panta pirmā daļa. Iepriekš norādītās Civilprocesa likuma un Autortiesību likuma normas attiecībā uz pieejamajiem galīgajiem tiesiskās aizsardzības līdzekļiem nav ne gramatiski, ne saturiski identiskas, lai gan pēc būtības regulē vienu un to pašu jautājumu. </w:t>
            </w:r>
            <w:r w:rsidR="00000000" w:rsidRPr="00000000" w:rsidDel="00000000">
              <w:rPr>
                <w:b w:val="1"/>
                <w:i w:val="1"/>
                <w:rtl w:val="0"/>
              </w:rPr>
              <w:t xml:space="preserve">Līdz ar to likumdevējam būtu jāizvēlas viens no abiem likumiem, kurā šo jautājumu regulēt, jo galīgo tiesiskās aizsardzības līdzekļu vieta ir materiālo tiesību aktos.</w:t>
            </w:r>
            <w:r w:rsidR="00000000" w:rsidRPr="00000000" w:rsidDel="00000000">
              <w:rPr>
                <w:i w:val="1"/>
                <w:rtl w:val="0"/>
              </w:rPr>
              <w:t xml:space="preserve"> Pirmie soļi šī jautājuma sakārtošanā ir sperti, jo Preču zīmju likumā, kas stājās spēkā 2020. gada 6. martā, ir regulēti visi galīgie tiesiskās aizsardzības līdzekļi(Civilprocesa likuma komentāri, II daļa (29.–60.1 nodaļa). Otrais papildinātais izdevums. Sagatavojis autoru kolektīvs. Prof. K. Torgāna un A. Laviņa zinātniskajā redakcijā. Rīga: Tiesu nama aģentūra, 2021. 190.–191. lpp.)."</w:t>
            </w:r>
            <w:r w:rsidR="00000000" w:rsidRPr="00000000" w:rsidDel="00000000">
              <w:rPr>
                <w:rtl w:val="0"/>
              </w:rPr>
              <w:t xml:space="preserve"> Pēc Civilprocesa likuma komentāru citāta izdarīts secinājums, ka </w:t>
            </w:r>
            <w:r w:rsidR="00000000" w:rsidRPr="00000000" w:rsidDel="00000000">
              <w:rPr>
                <w:i w:val="1"/>
                <w:rtl w:val="0"/>
              </w:rPr>
              <w:t xml:space="preserve">"lai nodrošinātu vienveidīgu galīgo tiesiskās aizsardzības līdzekļu regulējumu visās intelektuālā īpašuma tiesību nozarēs, nepieciešams pilnveidot arī Autortiesību likuma attiecīgo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4.pantā ir piedāvāta jauna Autortiesību likuma 69.</w:t>
            </w:r>
            <w:r w:rsidR="00000000" w:rsidRPr="00000000" w:rsidDel="00000000">
              <w:rPr>
                <w:vertAlign w:val="superscript"/>
                <w:rtl w:val="0"/>
              </w:rPr>
              <w:t xml:space="preserve">1</w:t>
            </w:r>
            <w:r w:rsidR="00000000" w:rsidRPr="00000000" w:rsidDel="00000000">
              <w:rPr>
                <w:rtl w:val="0"/>
              </w:rPr>
              <w:t xml:space="preserve"> panta redakcijas, kuras trešajā daļā ir iekļautas normas, kas būtībā dublē Civilprocesa likuma 250.</w:t>
            </w:r>
            <w:r w:rsidR="00000000" w:rsidRPr="00000000" w:rsidDel="00000000">
              <w:rPr>
                <w:vertAlign w:val="superscript"/>
                <w:rtl w:val="0"/>
              </w:rPr>
              <w:t xml:space="preserve">17</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 lūdz Kultūras ministriju skaidrot, vai ir paredzēts izstrādāt arī grozījumus Civilprocesa likumā, kas izslēgtu galīgo tiesību aizsardzības līdzekļu regulējumu no Civilprocesa likuma? Tieslietu ministrijas ieskatā, nav atbalstāma situācija, kurā Kultūras ministrijas izstrādātājā Likumprojektā būtībā tiek dublētas (ar nelielām atšķirībām) šobrīd spēkā esošās Civilprocesa likuma normas. Minētais tieši radīs lielākas neskaidrības tiesību normu piemērotājiem. Papildus arī norādām, ka, ja Kultūras ministrija plāno izstrādāt arī grozījumus Civilprocesa likumā, rosinot izslēgt galīgo tiesisko aizsardzības līdzekļu regulējumu no procesuālajām normām, tad ir jāņem vērā tas, ka jebkurš grozījums Civilprocesa likumā, kas tiek virzīts uz Saeimu, sākotnēji ir apspriežams ar tieslietu ministra rīkojumu izveidotajā pastāvīgajā darba grupā Civilprocesa likuma grozījumu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Tieslietu ministrijas viedoklim, ka Likumprojektā nevajadzētu dublēt spēkā esošās Civilprocesa likuma normas, vēršam uzmanību, ka pagaidām Kultūras ministrija vēl nevar virzīt attiecīgus grozījumus Civilprocesa likumā, rosinot izslēgt galīgo tiesisko aizsardzības līdzekļu regulējumu no procesuālajām normām, jo pirms tam nepieciešams precizēt normas par civiltiesiskajiem aizsardzības līdzekļiem pārējos intelektuālo īpašumu regulējošos normatīvajos aktos - Patentu likumā, Dizainparaugu likumā un Augu šķirņu aizsardzības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69.</w:t>
            </w:r>
            <w:r w:rsidR="00000000" w:rsidRPr="00000000" w:rsidDel="00000000">
              <w:rPr>
                <w:b w:val="1"/>
                <w:vertAlign w:val="superscript"/>
                <w:rtl w:val="0"/>
              </w:rPr>
              <w:t xml:space="preserve">1</w:t>
            </w:r>
            <w:r w:rsidR="00000000" w:rsidRPr="00000000" w:rsidDel="00000000">
              <w:rPr>
                <w:b w:val="1"/>
                <w:rtl w:val="0"/>
              </w:rPr>
              <w:t xml:space="preserve"> pants. Civiltiesiskās aizsardzības līdzekļu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lietā par autortiesību vai blakustiesību pārkāpuma novēršanu tiek konstatēts pārkāpums, tiesa pēc autortiesību vai blakustiesību subjekta, kolektīvā pārvaldījuma organizācijas vai licenciāta lūguma var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Kaitējuma atlīdzības piedziņa nav piemērojama nākotnē iespējama pārkāpuma gadījumā. Par nākotnē iespējamu pārkāpumu ir uzskatāms gadījums, kad tiek konstatēts, ka autortiesības vai blakustiesības var tikt pārkāptas vai tiks pārkāptas, jo iespējamais pārkāpējs pats vai ar citas personas palīdzību ir veicis pasākumus, kas atzīstami par sagatavošanos autortiesību vai blakustiesību pārkāpšanai.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vienlaikus ar šā panta pirmajā daļā minētajiem tiesiskās aizsardzības līdzekļiem pēc autortiesību vai blakustiesību subjekta, kolektīvā pārvaldījuma organizācijas vai licenciāta lūguma var piemērot vienu vai vairākus šādus tiesiskās aizsardzības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atsaukt vai izņemt no saimnieciskās aprites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pilnībā vai daļēji iznīcināt kontrafaktos eksemplārus, kā arī ierīces un materiālus, kas izmantoti vai paredzēti kontrafakto eksemplāru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publiskot informāciju par spriedumu, tostarp pilnībā vai daļēji publiskot tiesas spriedumu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noteiktās darbības izdarāmas par pārkāpēja līdzekļiem, ja vien prasītājs nav lūdzis to izdarīt par saviem līdzekļiem.”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2004. gada 29. aprīļa direktīvas 2004/48/EK par intelektuālā īpašuma tiesību piemērošanu 13. panta 1. punktā ietverto regulējumu, lūdzam papildināt anotāciju ar skaidrojumu par apsvērumiem, kādēļ nepieciešams ietvert Autortiesību likumā trešo alternatīvo mantiskās kompensācijas veidu, proti, tās peļņas piedziņu, kuru pārkāpuma rezultātā negodīgi guvusi persona, kas pārkāpusi autortiesības vai blakustiesības.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būtu jāparedz atbildētāja peļņas piedziņa kā mantiskā kaitējuma atlīdzināšanas metode. Lai gan atbildētāja peļņas piedziņai ir anglosakšu tiesību sistēmas izcelsme, šobrīd tā ir arī vairāku kontinentālās Eiropas valstu intelektuālā īpašuma tiesību sastāvdaļa. Restitūcija ir tikpat nozīmīgs princips kā kompensācija, un Civillikuma 2391. pants jau paredz atprasījumus netaisnas iedzīvošanās dēļ. Domājams, ka atbildētāja peļņas piedziņa šobrīd no Latvijas intelektuālā īpašuma tiesībām ir pazudusi nevis juridisku vai praktisku apsvērumu dēļ, bet gan tāpēc, ka Latvija, ieviešot Piemērošanas direktīvu, ir pārņēmusi minimālās prasības. Līdz ar to tā būtu atjaunojama kā alternatīva kaitējuma atlīdzināšanas metode. (Pētersone Z. Intelektuālā īpašuma civiltiesiskās aizsardzības līdzekļi. Rīga: Tiesu nama aģentūra, 2013. 318.–320.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 pantu citstarp paredzēts Autortiesību likumu papildināt ar 69.</w:t>
            </w:r>
            <w:r w:rsidR="00000000" w:rsidRPr="00000000" w:rsidDel="00000000">
              <w:rPr>
                <w:vertAlign w:val="superscript"/>
                <w:rtl w:val="0"/>
              </w:rPr>
              <w:t xml:space="preserve">4</w:t>
            </w:r>
            <w:r w:rsidR="00000000" w:rsidRPr="00000000" w:rsidDel="00000000">
              <w:rPr>
                <w:rtl w:val="0"/>
              </w:rPr>
              <w:t xml:space="preserve"> pantu, kurā paredzēts alternatīvs mehānisms (kompensācija) tā vietā, lai piemērotu pienākumrīkojumu un papildu tiesiskās aizsardzības līdzekļus, gadījumos, kad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kā tiesām šo kompensāciju būtu jānosaka, piemēram, kas būtu jāņem vērā tās apmēra noteikšanai, kā arī informāciju par to, vai ir pieejamas kādas vadlīnijas / rekomendācijas šādas kompensācijas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par to, kas 69.</w:t>
            </w:r>
            <w:r w:rsidR="00000000" w:rsidRPr="00000000" w:rsidDel="00000000">
              <w:rPr>
                <w:vertAlign w:val="superscript"/>
                <w:rtl w:val="0"/>
              </w:rPr>
              <w:t xml:space="preserve">4</w:t>
            </w:r>
            <w:r w:rsidR="00000000" w:rsidRPr="00000000" w:rsidDel="00000000">
              <w:rPr>
                <w:rtl w:val="0"/>
              </w:rPr>
              <w:t xml:space="preserve"> pantā domāts ar 3. nosacījumu (naudas kompensācija ir pietiekami apmierinošs līdzeklis), proti, kādi apsvērumi jāņem vērā, katrā konkrētā gadījumā izvērtējot, vai naudas kompensācija ir pietiekami apmierinošs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jāvērtē, vai naudas kompensācija ir apmierinošs līdzeklis tiesību īpašniekam. Tādējādi tiesai ir atsevišķi jāizvērtē gan pārkāpēja intereses (t.i. viņa darbība labā ticībā), gan tās puses intereses, kuras tiesības ir pārkāptas.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Piemērošanas direktīvas preambulas 25. apsvērumā norādīts, ka, ja viltoto preču komerciāla izmantošana vai pakalpojumu sniegšana rada citu likuma pārkāpumu, kas nav intelektuālā īpašuma tiesību pārkāpums, vai var radīt kaitējumu patērētājiem, šāda preču izmantošana vai pakalpojumu sniegšana ir aizliegta. Līdz ar to iepriekš norādītajā gadījumā naudas kompensācija nav piemērojama, un secināms, ka naudas kompensāciju var piemērot tikai intelektuālā īpašuma tiesību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Piemērošanas direktīvas 12. pantā nav ietvertas norādes, kādam būtu jābūt naudas kompensācijas apmēram. Šādai kompensācijai katrā ziņā būtu jāietver licences maksa, kura pārkāpējam būtu bijusi jāmaksā tiesību īpašniekam, lai iegūtu atļauju attiecīgā darba izmantošanai. Taču atkarībā no katras konkrētās lietas apstākļiem, nosakot kompensāciju, ņem vērā arī tiesību īpašnieka zaudējumus. Vienlaikus šai normai nav sodoša rakstura, jo tikai labticīgs pārkāpējs var lūgt naudas kompensācijas piemērošanu (</w:t>
            </w:r>
            <w:r w:rsidR="00000000" w:rsidRPr="00000000" w:rsidDel="00000000">
              <w:rPr>
                <w:i w:val="1"/>
                <w:rtl w:val="0"/>
              </w:rPr>
              <w:t xml:space="preserve">European</w:t>
            </w:r>
            <w:r w:rsidR="00000000" w:rsidRPr="00000000" w:rsidDel="00000000">
              <w:rPr>
                <w:rtl w:val="0"/>
              </w:rPr>
              <w:t xml:space="preserve"> </w:t>
            </w:r>
            <w:r w:rsidR="00000000" w:rsidRPr="00000000" w:rsidDel="00000000">
              <w:rPr>
                <w:i w:val="1"/>
                <w:rtl w:val="0"/>
              </w:rPr>
              <w:t xml:space="preserve">Copyright Law. A Commentary</w:t>
            </w:r>
            <w:r w:rsidR="00000000" w:rsidRPr="00000000" w:rsidDel="00000000">
              <w:rPr>
                <w:rtl w:val="0"/>
              </w:rPr>
              <w:t xml:space="preserve">. Walter, M. M. (Ed.), Lewinski, S. (Ed.). New York: Oxford University Press, 2010. – p. 1302-1304).”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Autortiesību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likumprojekts ir saistīts ar likumprojektu "Grozījumi Elektronisko plašsaziņas līdzekļu likumā" (23-TA-1041), par kuru Finanšu ministrija ir izteikusi iebildumus, norādām, ka likumprojekts var tikt virzīts izskatīšanai Ministru kabinetā tikai pēc tam, kad būs novērsti iebildumi par likumprojektu "Grozījumi Elektronisko plašsaziņas līdzekļu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likumprojekts vairs nav saistīts ar likumprojektu “Grozījumi Elektronisko plašsaziņas līdzekļu likumā” (23-TA-1041), jo pēdējais likumprojekts tika virzīts atsevišķi un pieņemts Ministru kabineta 2024. gada 9. jūlija sēdē (Saeimā minētā likumprojekta tiesību normas tika pārceltas uz Autortiesību likumu, un attiecīgā Autortiesību likuma nodaļa "XI</w:t>
            </w:r>
            <w:r w:rsidR="00000000" w:rsidRPr="00000000" w:rsidDel="00000000">
              <w:rPr>
                <w:vertAlign w:val="superscript"/>
                <w:rtl w:val="0"/>
              </w:rPr>
              <w:t xml:space="preserve">1</w:t>
            </w:r>
            <w:r w:rsidR="00000000" w:rsidRPr="00000000" w:rsidDel="00000000">
              <w:rPr>
                <w:rtl w:val="0"/>
              </w:rPr>
              <w:t xml:space="preserve"> nodaļa. Piekļuves ierobežošana tīmekļvietnēm, kurās prettiesiski publiskoti autortiesību vai blakustiesību objekti" stājās spēkā 2025. gada 11. janvārī). Līdz ar to konkrētais Finanšu ministrijas iebildums vairs nav aktuāls.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Autortiesību likumā"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starpnieka pakalpojuma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mantiskās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5</w:t>
            </w:r>
            <w:r w:rsidR="00000000" w:rsidRPr="00000000" w:rsidDel="00000000">
              <w:rPr>
                <w:b w:val="1"/>
                <w:rtl w:val="0"/>
              </w:rPr>
              <w:t xml:space="preserve"> pants.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piekļuvi tīmekļvietnēm, kurās prettiesiski tiek izmantoti autortiesību vai blakustiesību objekti, autortiesību subjekts, blakustiesību subjekts, kolektīvā pārvaldījuma organizācija vai licenciāts ir tiesīgi vērsties arī Nacionālajā elektronisko plašsaziņas līdzekļu padomē. Šādā gadījumā piekļuve tīmekļvietnēm tiek ierobežota Elektronisko plašsaziņas līdzekļu likuma III</w:t>
            </w:r>
            <w:r w:rsidR="00000000" w:rsidRPr="00000000" w:rsidDel="00000000">
              <w:rPr>
                <w:vertAlign w:val="superscript"/>
                <w:rtl w:val="0"/>
              </w:rPr>
              <w:t xml:space="preserve">3</w:t>
            </w:r>
            <w:r w:rsidR="00000000" w:rsidRPr="00000000" w:rsidDel="00000000">
              <w:rPr>
                <w:rtl w:val="0"/>
              </w:rPr>
              <w:t xml:space="preserve"> nodaļā noteiktajā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trešajā daļā ietvertā norma neattiecas uz pienākumrīkojumu, kas ir tiesas piemērotie tiesiskās aizsardzības līdzekļi, bet gan uz pienākumu tiesību īpašniekam pirms celšanas tiesā pret starpnieka pakalpojuma sniedzēju nosūtīt brīdinājumu. Tādējādi, lūdzam izvērtēt panta trešās daļas pārcelšanu uz 68.1 pantu, kas tieši regulē kārtību, kādā tiek nosūtīts brīdinājums par autortiesību vai blakustiesību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pantā (iepriekš - 5. pants) ietvertā Autortiesību likuma 69.</w:t>
            </w:r>
            <w:r w:rsidR="00000000" w:rsidRPr="00000000" w:rsidDel="00000000">
              <w:rPr>
                <w:vertAlign w:val="superscript"/>
                <w:rtl w:val="0"/>
              </w:rPr>
              <w:t xml:space="preserve">2 </w:t>
            </w:r>
            <w:r w:rsidR="00000000" w:rsidRPr="00000000" w:rsidDel="00000000">
              <w:rPr>
                <w:rtl w:val="0"/>
              </w:rPr>
              <w:t xml:space="preserve">panta nosaukums šādā redakcijā “Pienākumrīkojums un tā piemērošanas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izveidotajā Darba grupā autortiesību normatīvā regulējuma pilnveidei, kurā piedalās visas ieinteresētās puses, tika panākta vienošanās, ka 69.</w:t>
            </w:r>
            <w:r w:rsidR="00000000" w:rsidRPr="00000000" w:rsidDel="00000000">
              <w:rPr>
                <w:vertAlign w:val="superscript"/>
                <w:rtl w:val="0"/>
              </w:rPr>
              <w:t xml:space="preserve">2</w:t>
            </w:r>
            <w:r w:rsidR="00000000" w:rsidRPr="00000000" w:rsidDel="00000000">
              <w:rPr>
                <w:rtl w:val="0"/>
              </w:rPr>
              <w:t xml:space="preserve"> panta trešajā daļā ietvertā norma nebūtu iekļaujama 68.</w:t>
            </w:r>
            <w:r w:rsidR="00000000" w:rsidRPr="00000000" w:rsidDel="00000000">
              <w:rPr>
                <w:vertAlign w:val="superscript"/>
                <w:rtl w:val="0"/>
              </w:rPr>
              <w:t xml:space="preserve">1 </w:t>
            </w:r>
            <w:r w:rsidR="00000000" w:rsidRPr="00000000" w:rsidDel="00000000">
              <w:rPr>
                <w:rtl w:val="0"/>
              </w:rPr>
              <w:t xml:space="preserve">pantā “Brīdinājums par autortiesību vai blakustiesību pārkāpumu”, jo 68.</w:t>
            </w:r>
            <w:r w:rsidR="00000000" w:rsidRPr="00000000" w:rsidDel="00000000">
              <w:rPr>
                <w:vertAlign w:val="superscript"/>
                <w:rtl w:val="0"/>
              </w:rPr>
              <w:t xml:space="preserve">1</w:t>
            </w:r>
            <w:r w:rsidR="00000000" w:rsidRPr="00000000" w:rsidDel="00000000">
              <w:rPr>
                <w:rtl w:val="0"/>
              </w:rPr>
              <w:t xml:space="preserve"> pants paredz brīvprātīgu iespēju brīdināt visa veida pārkāpējus, kamēr 69.</w:t>
            </w:r>
            <w:r w:rsidR="00000000" w:rsidRPr="00000000" w:rsidDel="00000000">
              <w:rPr>
                <w:vertAlign w:val="superscript"/>
                <w:rtl w:val="0"/>
              </w:rPr>
              <w:t xml:space="preserve">2</w:t>
            </w:r>
            <w:r w:rsidR="00000000" w:rsidRPr="00000000" w:rsidDel="00000000">
              <w:rPr>
                <w:rtl w:val="0"/>
              </w:rPr>
              <w:t xml:space="preserve"> panta trešajā daļā noteikts pienākums vispirms vērsties pie iespējamā pārkāpēja. Turklāt minētais pienākums attiecas tikai uz gadījumu, kad plānots vērsties pret starpnieku digitālā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 un tā piemērošanas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starpniecības pakalpojumu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starpnieka pakalpojuma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mantiskās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5</w:t>
            </w:r>
            <w:r w:rsidR="00000000" w:rsidRPr="00000000" w:rsidDel="00000000">
              <w:rPr>
                <w:b w:val="1"/>
                <w:rtl w:val="0"/>
              </w:rPr>
              <w:t xml:space="preserve"> pants.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piekļuvi tīmekļvietnēm, kurās prettiesiski tiek izmantoti autortiesību vai blakustiesību objekti, autortiesību subjekts, blakustiesību subjekts, kolektīvā pārvaldījuma organizācija vai licenciāts ir tiesīgi vērsties arī Nacionālajā elektronisko plašsaziņas līdzekļu padomē. Šādā gadījumā piekļuve tīmekļvietnēm tiek ierobežota Elektronisko plašsaziņas līdzekļu likuma III</w:t>
            </w:r>
            <w:r w:rsidR="00000000" w:rsidRPr="00000000" w:rsidDel="00000000">
              <w:rPr>
                <w:vertAlign w:val="superscript"/>
                <w:rtl w:val="0"/>
              </w:rPr>
              <w:t xml:space="preserve">3</w:t>
            </w:r>
            <w:r w:rsidR="00000000" w:rsidRPr="00000000" w:rsidDel="00000000">
              <w:rPr>
                <w:rtl w:val="0"/>
              </w:rPr>
              <w:t xml:space="preserve"> nodaļā noteiktajā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panta par piekļuves ierobežošanu tīmekļvietnēm, kurās prettiesiski tiek izmantoti autortiesību vai blakustiesību objekti iekļaušanas nepieciešamību Autortiesību likumā. Ņemot vērā, ka norma neregulē kārtību, kādā persona var vērsties par piekļuves ierobežošanu atbilstoši Autortiesību likumā ietvertajām normām, bet gan atbilstoši Elektronisko plašsaziņas līdzekļu likumam, tādējādi Tieslietu ministrijas ieskatā šāda norma vairāk ir deklaratīva nevis juridiski saturiska. Turklāt šobrīd no tiesību normas nav saprotams, kādā kārtībā un kurā iestādē vēl papildu Nacionālajā elektronisko plašsaziņas līdzekļu padomei persona var vērsties par tīmekļvietnes bloķēšanu.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iepriekš ietvertais Autortiesību likuma 69.</w:t>
            </w:r>
            <w:r w:rsidR="00000000" w:rsidRPr="00000000" w:rsidDel="00000000">
              <w:rPr>
                <w:vertAlign w:val="superscript"/>
                <w:rtl w:val="0"/>
              </w:rPr>
              <w:t xml:space="preserve">5</w:t>
            </w:r>
            <w:r w:rsidR="00000000" w:rsidRPr="00000000" w:rsidDel="00000000">
              <w:rPr>
                <w:rtl w:val="0"/>
              </w:rPr>
              <w:t xml:space="preserve"> pants, kurš paredzēja iespēju vērsties Nacionālajā elektronisko plašsaziņas līdzekļu padomē ar lūgumu ierobežot piekļuvi pirātiskām tīmekļvietnēm, ir izslēgts, jo šobrīd šādu iespēju paredz Autortiesību likuma XI</w:t>
            </w:r>
            <w:r w:rsidR="00000000" w:rsidRPr="00000000" w:rsidDel="00000000">
              <w:rPr>
                <w:vertAlign w:val="superscript"/>
                <w:rtl w:val="0"/>
              </w:rPr>
              <w:t xml:space="preserve">1</w:t>
            </w:r>
            <w:r w:rsidR="00000000" w:rsidRPr="00000000" w:rsidDel="00000000">
              <w:rPr>
                <w:rtl w:val="0"/>
              </w:rPr>
              <w:t xml:space="preserve"> nodaļa (spēkā kopš 11.01.2025.)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 un tā piemērošanas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starpniecības pakalpojumu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starpnieka pakalpojuma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mantiskās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5</w:t>
            </w:r>
            <w:r w:rsidR="00000000" w:rsidRPr="00000000" w:rsidDel="00000000">
              <w:rPr>
                <w:b w:val="1"/>
                <w:rtl w:val="0"/>
              </w:rPr>
              <w:t xml:space="preserve"> pants. Piekļuves ierobežošana tīmekļvietnēm, kurās prettiesiski tiek izmantoti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piekļuvi tīmekļvietnēm, kurās prettiesiski tiek izmantoti autortiesību vai blakustiesību objekti, autortiesību subjekts, blakustiesību subjekts, kolektīvā pārvaldījuma organizācija vai licenciāts ir tiesīgi vērsties arī Nacionālajā elektronisko plašsaziņas līdzekļu padomē. Šādā gadījumā piekļuve tīmekļvietnēm tiek ierobežota Elektronisko plašsaziņas līdzekļu likuma III</w:t>
            </w:r>
            <w:r w:rsidR="00000000" w:rsidRPr="00000000" w:rsidDel="00000000">
              <w:rPr>
                <w:vertAlign w:val="superscript"/>
                <w:rtl w:val="0"/>
              </w:rPr>
              <w:t xml:space="preserve">3</w:t>
            </w:r>
            <w:r w:rsidR="00000000" w:rsidRPr="00000000" w:rsidDel="00000000">
              <w:rPr>
                <w:rtl w:val="0"/>
              </w:rPr>
              <w:t xml:space="preserve"> nodaļā noteiktajā kārtībā.”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Civillikuma 2347. panta pirmās daļas var secināt, ka ar atlīdzību saprotama mantiska kompensācija, tādējādi ierosinām izvērtēt, vai Likumprojekta 5. pantā 69.</w:t>
            </w:r>
            <w:r w:rsidR="00000000" w:rsidRPr="00000000" w:rsidDel="00000000">
              <w:rPr>
                <w:vertAlign w:val="superscript"/>
                <w:rtl w:val="0"/>
              </w:rPr>
              <w:t xml:space="preserve">3</w:t>
            </w:r>
            <w:r w:rsidR="00000000" w:rsidRPr="00000000" w:rsidDel="00000000">
              <w:rPr>
                <w:rtl w:val="0"/>
              </w:rPr>
              <w:t xml:space="preserve"> panta otrajā daļā lietojams vārdu savienojums "mantiska atlīdzība", vai tomēr tā vietā lietojams tikai vārds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pantā ietvertā 69.</w:t>
            </w:r>
            <w:r w:rsidR="00000000" w:rsidRPr="00000000" w:rsidDel="00000000">
              <w:rPr>
                <w:vertAlign w:val="superscript"/>
                <w:rtl w:val="0"/>
              </w:rPr>
              <w:t xml:space="preserve">3 </w:t>
            </w:r>
            <w:r w:rsidR="00000000" w:rsidRPr="00000000" w:rsidDel="00000000">
              <w:rPr>
                <w:rtl w:val="0"/>
              </w:rPr>
              <w:t xml:space="preserve">panta otrā daļa precizēta atbilstoši Tieslietu ministrijas priekšlikumam, t.i. vārdu “mantiska atlīdzība” vietā tiek lietots vārds “atlīdzība”.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69.</w:t>
            </w:r>
            <w:r w:rsidR="00000000" w:rsidRPr="00000000" w:rsidDel="00000000">
              <w:rPr>
                <w:b w:val="1"/>
                <w:vertAlign w:val="superscript"/>
                <w:rtl w:val="0"/>
              </w:rPr>
              <w:t xml:space="preserve">2</w:t>
            </w:r>
            <w:r w:rsidR="00000000" w:rsidRPr="00000000" w:rsidDel="00000000">
              <w:rPr>
                <w:b w:val="1"/>
                <w:rtl w:val="0"/>
              </w:rPr>
              <w:t xml:space="preserve"> pants. Pienākumrīkojums un tā piemērošanas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Pienākumrīkojums ir tiesas uzlikts pienākums pārkāpējam veikt noteiktas darbības vai atturēties no noteiktu darbību veikšanas autortiesību vai blakustiesību pārkāpuma pārtraukšanai vai iespējama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Pienākumrīkojumu var piemērot arī personai, kuras sniegtie pakalpojumi tiek izmantoti autortiesību vai blakustiesību pārkāpuma izdarīšanai vai kura citādi padara iespējamu pārkāpuma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prasības celšanas tiesā pret starpniecības pakalpojumu sniedzēju Informācijas sabiedrības pakalpojumu likuma izpratnē autortiesību subjektam, blakustiesību subjektam vai licenciātam ir pienākums rakstveidā vērsties pie iespējamā pārkāpēja vai personas, kuras sniegtie pakalpojumi visvairāk sekmējuši autortiesību vai blakustiesību pārkāpšanu, tostarp mitināšanas pakalpojumu sniedzēja, ar lūgumu pārtraukt prettiesisko rīcību, kuras rezultātā tiek pārkāptas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3</w:t>
            </w:r>
            <w:r w:rsidR="00000000" w:rsidRPr="00000000" w:rsidDel="00000000">
              <w:rPr>
                <w:b w:val="1"/>
                <w:rtl w:val="0"/>
              </w:rPr>
              <w:t xml:space="preserve"> pants. Kaitējuma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Autortiesību vai blakustiesību subjekts, kolektīvā pārvaldījuma organizācija vai licenciāts saskaņā ar šā likuma 69. panta otrās un trešās daļas noteikumiem ir tiesīgs prasīt autortiesību vai blakustiesību pārkāpuma rezultātā nodarītā mantiskā kaitējuma un nemantiskā kaitējuma atlīdzību no personas, kura zināja vai kurai 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Prasot atlīdzināt mantisko kaitējumu, autortiesību vai blakustiesību subjekts, kolektīvā pārvaldījuma organizācija vai licenciāts par katru pārkāpumu var lūgt vienu no šādiem atlīdzības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 atlīdzības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licences maksas (summas, kuru autortiesību vai blakustiesību subjekts varētu saņemt par autortiesību vai blakustiesību objekta izmantošanas tiesību piešķiršanu licenciātam)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peļņas piedziņu, kuru pārkāpuma rezultātā negodīgi guvusi persona, kas pārkāpusi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Nemantiskā kaitējuma atlīdzības apmēru nosaka pēc tiesas ieskata.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autortiesību subjekts, blakustiesību subjekts vai licenciāts ir nosūtījis brīdinājumu saskaņā ar šā likuma 68.</w:t>
            </w:r>
            <w:r w:rsidR="00000000" w:rsidRPr="00000000" w:rsidDel="00000000">
              <w:rPr>
                <w:vertAlign w:val="superscript"/>
                <w:rtl w:val="0"/>
              </w:rPr>
              <w:t xml:space="preserve">1</w:t>
            </w:r>
            <w:r w:rsidR="00000000" w:rsidRPr="00000000" w:rsidDel="00000000">
              <w:rPr>
                <w:rtl w:val="0"/>
              </w:rPr>
              <w:t xml:space="preserve"> panta pirmo daļu, tiesa, lemjot par kaitējuma atlīdzību, ņem vērā šī brīdinājuma saņemšanas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69.</w:t>
            </w:r>
            <w:r w:rsidR="00000000" w:rsidRPr="00000000" w:rsidDel="00000000">
              <w:rPr>
                <w:b w:val="1"/>
                <w:vertAlign w:val="superscript"/>
                <w:rtl w:val="0"/>
              </w:rPr>
              <w:t xml:space="preserve">4</w:t>
            </w:r>
            <w:r w:rsidR="00000000" w:rsidRPr="00000000" w:rsidDel="00000000">
              <w:rPr>
                <w:b w:val="1"/>
                <w:rtl w:val="0"/>
              </w:rPr>
              <w:t xml:space="preserve"> pants. Naudas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pēc atbildētāja motivēta rakstveida lūguma tā vietā, lai piemērotu šā likuma 69.</w:t>
            </w:r>
            <w:r w:rsidR="00000000" w:rsidRPr="00000000" w:rsidDel="00000000">
              <w:rPr>
                <w:vertAlign w:val="superscript"/>
                <w:rtl w:val="0"/>
              </w:rPr>
              <w:t xml:space="preserve">1</w:t>
            </w:r>
            <w:r w:rsidR="00000000" w:rsidRPr="00000000" w:rsidDel="00000000">
              <w:rPr>
                <w:rtl w:val="0"/>
              </w:rPr>
              <w:t xml:space="preserve"> panta pirmās daļas 1. punktā un trešās daļas 1. un 2. punktā minētos tiesiskās aizsardzības līdzekļus, var piedzīt naudas kompensāciju autortiesību subjekta, blakustiesību subjekta vai licenciāta labā, ja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viens no Likumprojekta izstrādes iemesliem ir nodrošināt pilnīgāku Autortiesību likuma normu atbilstību Eiropas Parlamenta un Padomes 2004. gada 29. aprīļa direktīvai 2004/48/EK par intelektuālā īpašuma tiesību piemērošanu (turpmāk – Piemērošanas direktīva), jo ir ticis secināts, ka vairākos aspektos Piemērošanas direktīvas pārņemšana nav bijusi veiksmīga, lūdzam anotācijā pie Likumprojektā ietverto tiesību normu apraksta attiecīgi norādīt, kāda Piemērošanas direktīvas norma tiek "pārņemta" (tiek nodrošināta pilnīgāka atbilstība) ar attiecīgo Likumprojekta pantu. Tāpat arī lūdzam anotāciju papildināt/precizēt, lai no tajā ietvertās informācijas būtu skaidrāks, kāds regulējums Likumprojektā ir ietverts tieši atbilstības Piemērošanas direktīvai nodrošināšanai un kas savukārt ir ar mērķi regulējuma uzlabošanai un modernizēšanai, piemēram, ņemot vērā Latvijas tiesiskajā sistēmā praksē konstatētās problēmas, doktrīnas atziņas, tiesu praksi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likumprojekta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Autortiesību likumā neparedz tiesības autortiesību vai blakustiesību subjektiem vērsties Nacionālajā elektronisko plašsaziņas līdzekļu padomē, lai ierobežotu piekļuvi tīmekļvietnēm, kurās prettiesiski izmantoti autortiesību vai blakustiesību objekti. Šāda kārtība ir ietverta Elektronisko plašsaziņas līdzekļu likumā, tādēļ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vairs nav aktuāls, jo šobrīd kārtību, kādā autortiesību un blakustiesību subjekti var vērsties Nacionālajā elektronisko plašsaziņas līdzekļu padomē, lai ierobežotu piekļuvi pirātiskām tīmekļvietnēm, paredz Autortiesību likuma XI</w:t>
            </w:r>
            <w:r w:rsidR="00000000" w:rsidRPr="00000000" w:rsidDel="00000000">
              <w:rPr>
                <w:vertAlign w:val="superscript"/>
                <w:rtl w:val="0"/>
              </w:rPr>
              <w:t xml:space="preserve">1</w:t>
            </w:r>
            <w:r w:rsidR="00000000" w:rsidRPr="00000000" w:rsidDel="00000000">
              <w:rPr>
                <w:rtl w:val="0"/>
              </w:rPr>
              <w:t xml:space="preserve"> nodaļa (spēkā kopš 11.01.2025.).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23-TA-1047</w:t>
    </w:r>
    <w:r>
      <w:br/>
    </w:r>
    <w:r w:rsidR="00000000" w:rsidRPr="00000000" w:rsidDel="00000000">
      <w:rPr>
        <w:rtl w:val="0"/>
      </w:rPr>
      <w:t xml:space="preserve">15.04.2026. 14.26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23-TA-1047</w:t>
    </w:r>
    <w:r>
      <w:br/>
    </w:r>
    <w:r w:rsidR="00000000" w:rsidRPr="00000000" w:rsidDel="00000000">
      <w:rPr>
        <w:rtl w:val="0"/>
      </w:rPr>
      <w:t xml:space="preserve">15.04.2026. 14.26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Izziņa_23-TA-1047.docx</dc:title>
</cp:coreProperties>
</file>

<file path=docProps/custom.xml><?xml version="1.0" encoding="utf-8"?>
<Properties xmlns="http://schemas.openxmlformats.org/officeDocument/2006/custom-properties" xmlns:vt="http://schemas.openxmlformats.org/officeDocument/2006/docPropsVTypes"/>
</file>