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58AA" w:rsidRDefault="00D358AA" w:rsidP="00D358AA">
      <w:pPr>
        <w:rPr>
          <w:rFonts w:eastAsia="Times New Roman"/>
          <w:lang w:val="en-US"/>
        </w:rPr>
      </w:pPr>
      <w:r>
        <w:rPr>
          <w:rFonts w:eastAsia="Times New Roman"/>
          <w:b/>
          <w:bCs/>
          <w:lang w:val="en-US"/>
        </w:rPr>
        <w:t>From:</w:t>
      </w:r>
      <w:r>
        <w:rPr>
          <w:rFonts w:eastAsia="Times New Roman"/>
          <w:lang w:val="en-US"/>
        </w:rPr>
        <w:t xml:space="preserve"> </w:t>
      </w:r>
      <w:proofErr w:type="spellStart"/>
      <w:r>
        <w:rPr>
          <w:rFonts w:eastAsia="Times New Roman"/>
          <w:lang w:val="en-US"/>
        </w:rPr>
        <w:t>Beatrise</w:t>
      </w:r>
      <w:proofErr w:type="spellEnd"/>
      <w:r>
        <w:rPr>
          <w:rFonts w:eastAsia="Times New Roman"/>
          <w:lang w:val="en-US"/>
        </w:rPr>
        <w:t xml:space="preserve"> </w:t>
      </w:r>
      <w:proofErr w:type="spellStart"/>
      <w:r>
        <w:rPr>
          <w:rFonts w:eastAsia="Times New Roman"/>
          <w:lang w:val="en-US"/>
        </w:rPr>
        <w:t>Suharževska</w:t>
      </w:r>
      <w:proofErr w:type="spellEnd"/>
      <w:r>
        <w:rPr>
          <w:rFonts w:eastAsia="Times New Roman"/>
          <w:lang w:val="en-US"/>
        </w:rPr>
        <w:t xml:space="preserve"> [mailto:Beatrise.Suharzevska@sam.gov.lv] </w:t>
      </w:r>
      <w:r>
        <w:rPr>
          <w:rFonts w:eastAsia="Times New Roman"/>
          <w:lang w:val="en-US"/>
        </w:rPr>
        <w:br/>
      </w:r>
      <w:r>
        <w:rPr>
          <w:rFonts w:eastAsia="Times New Roman"/>
          <w:b/>
          <w:bCs/>
          <w:lang w:val="en-US"/>
        </w:rPr>
        <w:t>Sent:</w:t>
      </w:r>
      <w:r>
        <w:rPr>
          <w:rFonts w:eastAsia="Times New Roman"/>
          <w:lang w:val="en-US"/>
        </w:rPr>
        <w:t xml:space="preserve"> Monday, November 1, 2021 9:28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Kristīne Jankovska &lt;Kristine.Jankovska@varam.gov.lv&gt;</w:t>
      </w:r>
      <w:r>
        <w:rPr>
          <w:rFonts w:eastAsia="Times New Roman"/>
          <w:lang w:val="en-US"/>
        </w:rPr>
        <w:br/>
      </w:r>
      <w:r>
        <w:rPr>
          <w:rFonts w:eastAsia="Times New Roman"/>
          <w:b/>
          <w:bCs/>
          <w:lang w:val="en-US"/>
        </w:rPr>
        <w:t>Subject:</w:t>
      </w:r>
      <w:r>
        <w:rPr>
          <w:rFonts w:eastAsia="Times New Roman"/>
          <w:lang w:val="en-US"/>
        </w:rPr>
        <w:t xml:space="preserve"> FW: </w:t>
      </w:r>
      <w:proofErr w:type="spellStart"/>
      <w:r>
        <w:rPr>
          <w:rFonts w:eastAsia="Times New Roman"/>
          <w:lang w:val="en-US"/>
        </w:rPr>
        <w:t>Atkārtotā</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w:t>
      </w:r>
      <w:proofErr w:type="spellStart"/>
      <w:r>
        <w:rPr>
          <w:rFonts w:eastAsia="Times New Roman"/>
          <w:lang w:val="en-US"/>
        </w:rPr>
        <w:t>pēc</w:t>
      </w:r>
      <w:proofErr w:type="spellEnd"/>
      <w:r>
        <w:rPr>
          <w:rFonts w:eastAsia="Times New Roman"/>
          <w:lang w:val="en-US"/>
        </w:rPr>
        <w:t xml:space="preserve"> </w:t>
      </w:r>
      <w:proofErr w:type="spellStart"/>
      <w:r>
        <w:rPr>
          <w:rFonts w:eastAsia="Times New Roman"/>
          <w:lang w:val="en-US"/>
        </w:rPr>
        <w:t>starpministriju</w:t>
      </w:r>
      <w:proofErr w:type="spellEnd"/>
      <w:r>
        <w:rPr>
          <w:rFonts w:eastAsia="Times New Roman"/>
          <w:lang w:val="en-US"/>
        </w:rPr>
        <w:t xml:space="preserve"> (</w:t>
      </w:r>
      <w:proofErr w:type="spellStart"/>
      <w:r>
        <w:rPr>
          <w:rFonts w:eastAsia="Times New Roman"/>
          <w:lang w:val="en-US"/>
        </w:rPr>
        <w:t>starpinstitūciju</w:t>
      </w:r>
      <w:proofErr w:type="spellEnd"/>
      <w:r>
        <w:rPr>
          <w:rFonts w:eastAsia="Times New Roman"/>
          <w:lang w:val="en-US"/>
        </w:rPr>
        <w:t xml:space="preserve">) </w:t>
      </w:r>
      <w:proofErr w:type="spellStart"/>
      <w:r>
        <w:rPr>
          <w:rFonts w:eastAsia="Times New Roman"/>
          <w:lang w:val="en-US"/>
        </w:rPr>
        <w:t>sanāksmes</w:t>
      </w:r>
      <w:proofErr w:type="spellEnd"/>
      <w:r>
        <w:rPr>
          <w:rFonts w:eastAsia="Times New Roman"/>
          <w:lang w:val="en-US"/>
        </w:rPr>
        <w:t xml:space="preserve"> </w:t>
      </w:r>
      <w:proofErr w:type="spellStart"/>
      <w:r>
        <w:rPr>
          <w:rFonts w:eastAsia="Times New Roman"/>
          <w:lang w:val="en-US"/>
        </w:rPr>
        <w:t>likumprojektam</w:t>
      </w:r>
      <w:proofErr w:type="spellEnd"/>
      <w:r>
        <w:rPr>
          <w:rFonts w:eastAsia="Times New Roman"/>
          <w:lang w:val="en-US"/>
        </w:rPr>
        <w:t xml:space="preserve"> "</w:t>
      </w:r>
      <w:proofErr w:type="spellStart"/>
      <w:r>
        <w:rPr>
          <w:rFonts w:eastAsia="Times New Roman"/>
          <w:lang w:val="en-US"/>
        </w:rPr>
        <w:t>Grozījumi</w:t>
      </w:r>
      <w:proofErr w:type="spellEnd"/>
      <w:r>
        <w:rPr>
          <w:rFonts w:eastAsia="Times New Roman"/>
          <w:lang w:val="en-US"/>
        </w:rPr>
        <w:t xml:space="preserve"> </w:t>
      </w:r>
      <w:proofErr w:type="spellStart"/>
      <w:r>
        <w:rPr>
          <w:rFonts w:eastAsia="Times New Roman"/>
          <w:lang w:val="en-US"/>
        </w:rPr>
        <w:t>Informācijas</w:t>
      </w:r>
      <w:proofErr w:type="spellEnd"/>
      <w:r>
        <w:rPr>
          <w:rFonts w:eastAsia="Times New Roman"/>
          <w:lang w:val="en-US"/>
        </w:rPr>
        <w:t xml:space="preserve"> </w:t>
      </w:r>
      <w:proofErr w:type="spellStart"/>
      <w:r>
        <w:rPr>
          <w:rFonts w:eastAsia="Times New Roman"/>
          <w:lang w:val="en-US"/>
        </w:rPr>
        <w:t>atklātības</w:t>
      </w:r>
      <w:proofErr w:type="spellEnd"/>
      <w:r>
        <w:rPr>
          <w:rFonts w:eastAsia="Times New Roman"/>
          <w:lang w:val="en-US"/>
        </w:rPr>
        <w:t xml:space="preserve"> </w:t>
      </w:r>
      <w:proofErr w:type="spellStart"/>
      <w:r>
        <w:rPr>
          <w:rFonts w:eastAsia="Times New Roman"/>
          <w:lang w:val="en-US"/>
        </w:rPr>
        <w:t>likumā</w:t>
      </w:r>
      <w:proofErr w:type="spellEnd"/>
      <w:r>
        <w:rPr>
          <w:rFonts w:eastAsia="Times New Roman"/>
          <w:lang w:val="en-US"/>
        </w:rPr>
        <w:t xml:space="preserve">" (VSS-385). </w:t>
      </w:r>
    </w:p>
    <w:p w:rsidR="00D358AA" w:rsidRDefault="00D358AA" w:rsidP="00D358AA"/>
    <w:p w:rsidR="00D358AA" w:rsidRDefault="00D358AA" w:rsidP="00D358AA">
      <w:pPr>
        <w:rPr>
          <w:rFonts w:ascii="Times New Roman" w:hAnsi="Times New Roman" w:cs="Times New Roman"/>
          <w:sz w:val="24"/>
          <w:szCs w:val="24"/>
        </w:rPr>
      </w:pPr>
      <w:r>
        <w:rPr>
          <w:rFonts w:ascii="Times New Roman" w:hAnsi="Times New Roman" w:cs="Times New Roman"/>
          <w:sz w:val="24"/>
          <w:szCs w:val="24"/>
        </w:rPr>
        <w:t xml:space="preserve">Labdien, </w:t>
      </w:r>
    </w:p>
    <w:p w:rsidR="00D358AA" w:rsidRDefault="00D358AA" w:rsidP="00D358AA">
      <w:pPr>
        <w:rPr>
          <w:rFonts w:ascii="Times New Roman" w:hAnsi="Times New Roman" w:cs="Times New Roman"/>
          <w:sz w:val="24"/>
          <w:szCs w:val="24"/>
        </w:rPr>
      </w:pPr>
    </w:p>
    <w:p w:rsidR="00D358AA" w:rsidRDefault="00D358AA" w:rsidP="00D358AA">
      <w:pPr>
        <w:ind w:firstLine="720"/>
        <w:jc w:val="both"/>
        <w:rPr>
          <w:rFonts w:ascii="Times New Roman" w:hAnsi="Times New Roman" w:cs="Times New Roman"/>
          <w:sz w:val="24"/>
          <w:szCs w:val="24"/>
        </w:rPr>
      </w:pPr>
      <w:r>
        <w:rPr>
          <w:rFonts w:ascii="Times New Roman" w:hAnsi="Times New Roman" w:cs="Times New Roman"/>
          <w:sz w:val="24"/>
          <w:szCs w:val="24"/>
        </w:rPr>
        <w:t xml:space="preserve">Satiksmes ministrija ir izvērtējusi Vides aizsardzības un attīstības ministrijas precizēto likumprojektu “Grozījumi Informācijas atklātības likumā”(turpmāk – likumprojekts) un izsaka šādus iebildumus. </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1. Likumprojektā ir ietverts jauns 2. pants, kas paredz Informācijas atklātības likuma (turpmāk – IAL) 2. pantu papildināt ar 3.</w:t>
      </w:r>
      <w:r>
        <w:rPr>
          <w:rFonts w:ascii="Times New Roman" w:hAnsi="Times New Roman" w:cs="Times New Roman"/>
          <w:sz w:val="24"/>
          <w:szCs w:val="24"/>
          <w:vertAlign w:val="superscript"/>
        </w:rPr>
        <w:t>1</w:t>
      </w:r>
      <w:r>
        <w:rPr>
          <w:rFonts w:ascii="Times New Roman" w:hAnsi="Times New Roman" w:cs="Times New Roman"/>
          <w:sz w:val="24"/>
          <w:szCs w:val="24"/>
        </w:rPr>
        <w:t xml:space="preserve"> daļu. No šīs daļas a apakšpunkta izriet, ka prasības attiecībā uz piekļuves nodrošināšanu augstvērtīgām datu kopām un dinamiskajiem datiem attieksies uz visām publiskas personas kontrolētām kapitālsabiedrībām, kas darbojas ūdensapgādes, enerģētikas, transporta un pasta pakalpojumu jomā. Šāds regulējums neatbilst Eiropas Parlamenta un Padomes 2019. gada 20. jūnija Direktīvas (ES) 2019/1024 par atvērtajiem datiem un publiskā sektora informācijas </w:t>
      </w:r>
      <w:proofErr w:type="spellStart"/>
      <w:r>
        <w:rPr>
          <w:rFonts w:ascii="Times New Roman" w:hAnsi="Times New Roman" w:cs="Times New Roman"/>
          <w:sz w:val="24"/>
          <w:szCs w:val="24"/>
        </w:rPr>
        <w:t>atkalizmantošanu</w:t>
      </w:r>
      <w:proofErr w:type="spellEnd"/>
      <w:r>
        <w:rPr>
          <w:rFonts w:ascii="Times New Roman" w:hAnsi="Times New Roman" w:cs="Times New Roman"/>
          <w:sz w:val="24"/>
          <w:szCs w:val="24"/>
        </w:rPr>
        <w:t xml:space="preserve"> (turpmāk – Direktīva 2019/1024) 1. panta 1.punkta b apakšpunkta i punktam, no kura izriet, ka minētās prasības ir attiecināmas tikai uz tām publiskas personas kontrolētām kapitālsabiedrībām, kuras darbojas Eiropas Parlamenta un Padomes 2014. gada 26. februāra Direktīvā 2014/25/ES par iepirkumu, ko īsteno subjekti, kuri darbojas ūdensapgādes, enerģētikas, transporta un pasta pakalpojumu nozarēs, un ar ko atceļ Direktīvu 2004/17/EK (turpmāk – Direktīva 2014/25), noteiktajās jomās, bet Direktīva 2014/25 attiecas ne uz visiem ūdensapgādes, enerģētikas, transporta un pasta pakalpojumiem, piemēram, saskaņā ar Direktīvas 2014/25 11. pantu uz ūdenstransporta pakalpojumiem šī direktīva neattiecas.</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Lūdzam atbilstoši precizēt likumprojekta 2. pantu, kā arī anotācijas I sadaļas 2. punktu (4. lpp.), piemēram, vispārējo atsauci uz “ūdensapgādes, enerģētikas, transporta un pasta pakalpojumiem” aizstājot ar atsauci uz normatīvo regulējumu, ar kuru Latvijas tiesību sistēmā ir pārņemtas tās Direktīvas 2014/25 tiesību normas, kas atspoguļo šīs direktīvas tvērumu. Ciktāl zināms, attiecīgās tiesību normas Latvijas tiesību sistēmā ir pārņemtas ar Sabiedrisko pakalpojumu sniedzēju iepirkumu likuma II nodaļu.</w:t>
      </w:r>
    </w:p>
    <w:p w:rsidR="00D358AA" w:rsidRDefault="00D358AA" w:rsidP="00D358AA">
      <w:pPr>
        <w:jc w:val="both"/>
        <w:rPr>
          <w:rFonts w:ascii="Times New Roman" w:hAnsi="Times New Roman" w:cs="Times New Roman"/>
          <w:sz w:val="24"/>
          <w:szCs w:val="24"/>
        </w:rPr>
      </w:pP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xml:space="preserve">2. Likumprojekta anotācijas I sadaļas 2. punktā (3. lpp.) ir ietverts šāds teksts: “Par pārvaldes uzdevumu šī likuma izpratnē tiek uzskatīti arī uzdevumi, kas saistīti ar konkrētu datu vai informācijas nodošanu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ja šāds uzdevums tiek noteikts par obligātu saskaņā ar šo likumu. Proti, ja kādas valsts kapitālsabiedrības pārziņā ir informācija, vai augstvērtīgas datu kopas, kas ir noteiktas par obligāti nododamām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saskaņā ar šo likumu, tad tiek uzskatīt, ka attiecīgā persona īsteno pārvaldes uzdevumu saistībā ar šo augstvērtīgo datu kopu nodošanas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pienākumu.” Respektīvi, tiek skaidrots, ka par pārvaldes uzdevumu ir uzskatāma informācijas nodošana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kā tāda, neatkarīgi no citiem sasaistē ar šo informāciju pastāvošiem vai nepastāvošiem pārvaldes uzdevumiem. Šāds skaidrojums neatbilst Direktīvas 2019/1024 1. panta 2.punkta a un b apakšpunktam. No šiem apakšpunktiem izriet, ka Direktīva 2019/1024 aptver tikai tādas informācijas nodošanu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kas: </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attiecībā uz “publisko tiesību subjektiem” (iestādēm) – sasaistās ar kādu jau pastāvošu pārvaldes uzdevumu;</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lastRenderedPageBreak/>
        <w:t>• attiecībā uz “publiskajiem uzņēmumiem” (publiskas personas kontrolētām kapitālsabiedrībām) – sasaistās ar kādu jau pastāvošu to sniegto vispārējas nozīmes pakalpojumu.</w:t>
      </w:r>
    </w:p>
    <w:p w:rsidR="00D358AA" w:rsidRDefault="00D358AA" w:rsidP="00D358AA">
      <w:pPr>
        <w:ind w:firstLine="720"/>
        <w:jc w:val="both"/>
        <w:rPr>
          <w:rFonts w:ascii="Times New Roman" w:hAnsi="Times New Roman" w:cs="Times New Roman"/>
          <w:sz w:val="24"/>
          <w:szCs w:val="24"/>
        </w:rPr>
      </w:pPr>
      <w:r>
        <w:rPr>
          <w:rFonts w:ascii="Times New Roman" w:hAnsi="Times New Roman" w:cs="Times New Roman"/>
          <w:sz w:val="24"/>
          <w:szCs w:val="24"/>
        </w:rPr>
        <w:t xml:space="preserve">Lūdzam likumprojekta anotācijas attiecīgo tekstu vai nu svītrot, vai atbilstoši precizēt. </w:t>
      </w:r>
    </w:p>
    <w:p w:rsidR="00D358AA" w:rsidRDefault="00D358AA" w:rsidP="00D358AA">
      <w:pPr>
        <w:jc w:val="both"/>
        <w:rPr>
          <w:rFonts w:ascii="Times New Roman" w:hAnsi="Times New Roman" w:cs="Times New Roman"/>
          <w:sz w:val="24"/>
          <w:szCs w:val="24"/>
        </w:rPr>
      </w:pPr>
    </w:p>
    <w:p w:rsidR="00D358AA" w:rsidRDefault="00D358AA" w:rsidP="00D358AA">
      <w:pPr>
        <w:ind w:firstLine="720"/>
        <w:jc w:val="both"/>
        <w:rPr>
          <w:rFonts w:ascii="Times New Roman" w:hAnsi="Times New Roman" w:cs="Times New Roman"/>
          <w:sz w:val="24"/>
          <w:szCs w:val="24"/>
        </w:rPr>
      </w:pPr>
      <w:r>
        <w:rPr>
          <w:rFonts w:ascii="Times New Roman" w:hAnsi="Times New Roman" w:cs="Times New Roman"/>
          <w:sz w:val="24"/>
          <w:szCs w:val="24"/>
        </w:rPr>
        <w:t xml:space="preserve">3. 2021. gada 10. augusta starpinstitūciju sanāksmē tika panākta vienošanās par likumprojekta anotācijas precizēšanu tā, lai tajā vairs nebūtu teksta, kas liek domāt, ka piekļuve augstvērtīgām datu kopām ir nodrošināma ne tikai “pēc savas iniciatīvas” vai “pēc privātpersonas pieprasījuma”, bet obligāti (pat tad, ja nav saņemts atbilstošs pieprasījums). Šāda vienošanās tika panākta, sakarā ar to, ka vēl nav izstrādāti Direktīvas 2019/1024 īstenošanas akti, pagaidām vēl nav līdz galam skaidra augstvērtīgo datu kopu “izplatīšanas kārtība”, attiecīgi vajadzētu izvairīties no kategoriskiem apgalvojumiem par obligātumu u.tml., kas no Direktīvas 2019/1024 teksta īsti neizriet. Neskatoties uz panākto vienošanos, likumprojekta anotācijas I sadaļas 2. punktā (5. lpp.) ir palicis šāds teksts: “Ņemot vērā, ka spēkā esošās IAL normas nosaka to, ka informācijas nodošana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nav obligāta prasība, bet gan iestādes iniciatīva, savukārt Direktīva attiecība uz augstvērtīgām datu kopām paredz to nodošanu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IAL tiek papildināts ar normu, kas paredz augstvērtīgo datu kopu nodošanu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saskaņā ar Ministru kabineta noteikto kārtību un izslēdz iestādes </w:t>
      </w:r>
      <w:proofErr w:type="spellStart"/>
      <w:r>
        <w:rPr>
          <w:rFonts w:ascii="Times New Roman" w:hAnsi="Times New Roman" w:cs="Times New Roman"/>
          <w:sz w:val="24"/>
          <w:szCs w:val="24"/>
        </w:rPr>
        <w:t>iestādes</w:t>
      </w:r>
      <w:proofErr w:type="spellEnd"/>
      <w:r>
        <w:rPr>
          <w:rFonts w:ascii="Times New Roman" w:hAnsi="Times New Roman" w:cs="Times New Roman"/>
          <w:sz w:val="24"/>
          <w:szCs w:val="24"/>
        </w:rPr>
        <w:t xml:space="preserve"> izvēles iespējas attiecībā uz minētās informācijas nodošanu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Lūdzam likumprojekta anotācijas attiecīgo tekstu vai nu svītrot, vai atbilstoši precizēt.</w:t>
      </w:r>
    </w:p>
    <w:p w:rsidR="00D358AA" w:rsidRDefault="00D358AA" w:rsidP="00D358AA">
      <w:pPr>
        <w:jc w:val="both"/>
        <w:rPr>
          <w:rFonts w:ascii="Times New Roman" w:hAnsi="Times New Roman" w:cs="Times New Roman"/>
          <w:sz w:val="24"/>
          <w:szCs w:val="24"/>
        </w:rPr>
      </w:pP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xml:space="preserve">4. Direktīvas 2019/1024 6. panta 1. punktā ir noteikts, ka dokumentu </w:t>
      </w:r>
      <w:proofErr w:type="spellStart"/>
      <w:r>
        <w:rPr>
          <w:rFonts w:ascii="Times New Roman" w:hAnsi="Times New Roman" w:cs="Times New Roman"/>
          <w:sz w:val="24"/>
          <w:szCs w:val="24"/>
        </w:rPr>
        <w:t>atkalizmantošana</w:t>
      </w:r>
      <w:proofErr w:type="spellEnd"/>
      <w:r>
        <w:rPr>
          <w:rFonts w:ascii="Times New Roman" w:hAnsi="Times New Roman" w:cs="Times New Roman"/>
          <w:sz w:val="24"/>
          <w:szCs w:val="24"/>
        </w:rPr>
        <w:t xml:space="preserve"> principā ir bez maksas, respektīvi dokumenta izsniegšanas cenā var būt iekļautas tikai šī dokumenta sagatavošanas izsniegšanai (reproducēšanas, personas datu </w:t>
      </w:r>
      <w:proofErr w:type="spellStart"/>
      <w:r>
        <w:rPr>
          <w:rFonts w:ascii="Times New Roman" w:hAnsi="Times New Roman" w:cs="Times New Roman"/>
          <w:sz w:val="24"/>
          <w:szCs w:val="24"/>
        </w:rPr>
        <w:t>anonimizācijas</w:t>
      </w:r>
      <w:proofErr w:type="spellEnd"/>
      <w:r>
        <w:rPr>
          <w:rFonts w:ascii="Times New Roman" w:hAnsi="Times New Roman" w:cs="Times New Roman"/>
          <w:sz w:val="24"/>
          <w:szCs w:val="24"/>
        </w:rPr>
        <w:t xml:space="preserve"> u.tml.) izmaksas, bet nevar būt iekļauta peļņa. Direktīvas 2019/1024 6. panta 2. punkta a apakšpunktā ir noteikts, ka izņēmuma kārtā 1. punktā noteiktais neattiecas uz “publiskā sektora struktūrām, no kurām prasa gūt ieņēmumus, lai segtu ievērojamu daļu izmaksu, kas saistītas ar tām uzticēto publisko uzdevumu izpildi”. Latvijā ir šādas “publiskā sektora struktūras”, piemēram, valsts sabiedrība ar ierobežotu atbildību “Latvijas Jūras administrācija” – valsts kapitālsabiedrība, no kuras prasa gūt ieņēmumus, lai segtu pilnīgi visas izmaksas, kas saistītas ar publisko uzdevumu izpildi, kas tai deleģēti saskaņā ar Jūrlietu pārvaldes un jūras drošības likuma 6. pantu. Direktīvas 2019/1024 6. panta 3. punktā ir noteikts, ka “Dalībvalstis tiešsaistē publicē 2. punkta a) apakšpunktā minēto publiskā sektora struktūru sarakstu”.</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xml:space="preserve">Likumprojekta anotācijas V sadaļas 1. tabulā attiecībā uz Direktīvas 2019/1024 6. panta 2. punkta a) apakšpunktu ir norādīts, ka tas ir pārņemts ar IAL 13. panta ceturto daļu un Ministru kabineta 2006. gada 21. novembra noteikumiem Nr. 940 “Noteikumi par informācijas sniegšanas maksas pakalpojumiem”. Patiesībā minētā IAL tiesību norma un minētie Ministru kabineta noteikumi Direktīvas 2019/1024 6. panta 2. punkta a apakšpunktam atbilstošu izņēmumu neparedz. Attiecībā uz Direktīvas 2019/1024 6. panta 3. punktu likumprojekta anotācijas V sadaļas 1. tabulā nav norādīts, ar kurām tiesību normām šis punkts ir pārņemts, bet ir norādīts, ka “norma ieviesta pilnībā” un paskaidrots: “Nacionālā līmenī nav zināmu iestāžu, kurām uzlikts uzdevums nodot informāciju </w:t>
      </w:r>
      <w:proofErr w:type="spellStart"/>
      <w:r>
        <w:rPr>
          <w:rFonts w:ascii="Times New Roman" w:hAnsi="Times New Roman" w:cs="Times New Roman"/>
          <w:sz w:val="24"/>
          <w:szCs w:val="24"/>
        </w:rPr>
        <w:t>atkalizmantošanai</w:t>
      </w:r>
      <w:proofErr w:type="spellEnd"/>
      <w:r>
        <w:rPr>
          <w:rFonts w:ascii="Times New Roman" w:hAnsi="Times New Roman" w:cs="Times New Roman"/>
          <w:sz w:val="24"/>
          <w:szCs w:val="24"/>
        </w:rPr>
        <w:t xml:space="preserve"> lai segtu būtisku daļu savu izdevumu, kas saistītas ar publisko uzdevumu izpildi.” Ņemot vērā iepriekš minēto, ka Latvijā ir Direktīvas 2019/1024 6. panta 2. punkta a apakšpunktam atbilstošas “publiskā sektora struktūras” (iestādes), šāds paskaidrojums ir nekorekts. </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lastRenderedPageBreak/>
        <w:t>Lūdzam atbilstoši precizēt likumprojekta anotācijas V sadaļas 1. tabulu, piemēram, norādot, ka Direktīvas 2019/1024 6. panta 2. punkta a apakšpunkts un 3. punkts Latvijas tiesību sistēmā nav pārņemts un paskaidrojot, kāpēc tas nav darīts.</w:t>
      </w:r>
    </w:p>
    <w:p w:rsidR="00D358AA" w:rsidRDefault="00D358AA" w:rsidP="00D358AA">
      <w:pPr>
        <w:jc w:val="both"/>
        <w:rPr>
          <w:rFonts w:ascii="Times New Roman" w:hAnsi="Times New Roman" w:cs="Times New Roman"/>
          <w:sz w:val="24"/>
          <w:szCs w:val="24"/>
        </w:rPr>
      </w:pP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xml:space="preserve">Vienlaikus izsakām šādus priekšlikumus. </w:t>
      </w:r>
    </w:p>
    <w:p w:rsidR="00D358AA" w:rsidRDefault="00D358AA" w:rsidP="00D358AA">
      <w:pPr>
        <w:jc w:val="both"/>
        <w:rPr>
          <w:rFonts w:ascii="Times New Roman" w:hAnsi="Times New Roman" w:cs="Times New Roman"/>
          <w:sz w:val="24"/>
          <w:szCs w:val="24"/>
        </w:rPr>
      </w:pP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1. Likumprojekta 3. pants paredz papildināt IAL 10. panta pirmo daļu aiz vārdiem “pēc privātpersonas pieprasījuma” ar vārdiem un skaitļiem “vai kā augstvērtīgu datu kopu atbilstoši šā panta 2.</w:t>
      </w:r>
      <w:r>
        <w:rPr>
          <w:rFonts w:ascii="Times New Roman" w:hAnsi="Times New Roman" w:cs="Times New Roman"/>
          <w:sz w:val="24"/>
          <w:szCs w:val="24"/>
          <w:vertAlign w:val="superscript"/>
        </w:rPr>
        <w:t>2</w:t>
      </w:r>
      <w:r>
        <w:rPr>
          <w:rFonts w:ascii="Times New Roman" w:hAnsi="Times New Roman" w:cs="Times New Roman"/>
          <w:sz w:val="24"/>
          <w:szCs w:val="24"/>
        </w:rPr>
        <w:t xml:space="preserve"> daļai.” Augstvērtīgu datu kopu īpaša izcelšana IAL 10. panta pirmajā daļā šķiet neloģiska, ņemot vērā, ka pastāv arī cita informācija, kurai jau tagad piekļuve ir nodrošināma ne “pēc savas iniciatīvas” vai “pēc privātpersonas pieprasījuma”, bet gan obligāti, piemēram, saskaņā ar Publiskas personas finanšu līdzekļu un mantas izšķērdēšanas novēršanas likumu.</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Ierosinām IAL 10. panta pirmo daļu izteikt šādā redakcijā:</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“(1) Iestāde informāciju sniedz:</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1) bez privātpersonas pieprasījuma:</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a) obligāti – normatīvajos aktos noteiktajos gadījumos;</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b) brīvprātīgi;</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2) pēc privātpersonas pieprasījuma.”</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xml:space="preserve">Piedāvātā redakcija nodrošinātu attiecīgās tiesību normas lielāku atbilstību jau pastāvošajai realitātei attiecībā uz piekļuves nodrošināšanu dažādai informācijai, vienlaikus attiecībā uz augstvērtīgām datu kopām atstājot elastību, kas nepieciešama saistībā ar šo datu kopu pagaidām vēl ne līdz galam skaidro “izplatīšanas kārtību”. </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Ja ierosinājums tiek ņemts vērā, lūdzam atbilstoši precizēta arī likumprojekta anotācijas I sadaļas 2. punktu (5. lpp.).</w:t>
      </w:r>
    </w:p>
    <w:p w:rsidR="00D358AA" w:rsidRDefault="00D358AA" w:rsidP="00D358AA">
      <w:pPr>
        <w:jc w:val="both"/>
        <w:rPr>
          <w:rFonts w:ascii="Times New Roman" w:hAnsi="Times New Roman" w:cs="Times New Roman"/>
          <w:sz w:val="24"/>
          <w:szCs w:val="24"/>
        </w:rPr>
      </w:pP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 xml:space="preserve">2. Likumprojekts ir papildināts ar jaunu 2. pantu – par noteiktām publisku personu kontrolētām kapitālsabiedrībām. Bet likumprojekta anotācijas II sadaļas 1. punktā šīs kapitālsabiedrības nav norādītas kā sabiedrības </w:t>
      </w:r>
      <w:proofErr w:type="spellStart"/>
      <w:r>
        <w:rPr>
          <w:rFonts w:ascii="Times New Roman" w:hAnsi="Times New Roman" w:cs="Times New Roman"/>
          <w:sz w:val="24"/>
          <w:szCs w:val="24"/>
        </w:rPr>
        <w:t>mērķgrupa</w:t>
      </w:r>
      <w:proofErr w:type="spellEnd"/>
      <w:r>
        <w:rPr>
          <w:rFonts w:ascii="Times New Roman" w:hAnsi="Times New Roman" w:cs="Times New Roman"/>
          <w:sz w:val="24"/>
          <w:szCs w:val="24"/>
        </w:rPr>
        <w:t>, kuru tiesiskais regulējums ietekmē vai varētu ietekmēt.</w:t>
      </w:r>
    </w:p>
    <w:p w:rsidR="00D358AA" w:rsidRDefault="00D358AA" w:rsidP="00D358AA">
      <w:pPr>
        <w:jc w:val="both"/>
        <w:rPr>
          <w:rFonts w:ascii="Times New Roman" w:hAnsi="Times New Roman" w:cs="Times New Roman"/>
          <w:sz w:val="24"/>
          <w:szCs w:val="24"/>
        </w:rPr>
      </w:pPr>
      <w:r>
        <w:rPr>
          <w:rFonts w:ascii="Times New Roman" w:hAnsi="Times New Roman" w:cs="Times New Roman"/>
          <w:sz w:val="24"/>
          <w:szCs w:val="24"/>
        </w:rPr>
        <w:t>Ierosinām atbilstoši papildināt likumprojekta anotācijas II sadaļas 1. punktu.</w:t>
      </w:r>
    </w:p>
    <w:p w:rsidR="00D358AA" w:rsidRDefault="00D358AA" w:rsidP="00D358AA">
      <w:pPr>
        <w:rPr>
          <w:rFonts w:ascii="Times New Roman" w:hAnsi="Times New Roman" w:cs="Times New Roman"/>
          <w:sz w:val="24"/>
          <w:szCs w:val="24"/>
        </w:rPr>
      </w:pPr>
    </w:p>
    <w:p w:rsidR="00D358AA" w:rsidRDefault="00D358AA" w:rsidP="00D358AA">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619250" cy="1619250"/>
            <wp:effectExtent l="0" t="0" r="0" b="0"/>
            <wp:wrapSquare wrapText="bothSides"/>
            <wp:docPr id="1" name="Picture 1" descr="signature_1706317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nature_170631767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19250" cy="161925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rFonts w:ascii="Verdana" w:hAnsi="Verdana"/>
          <w:color w:val="000000"/>
          <w:sz w:val="20"/>
          <w:szCs w:val="20"/>
          <w:lang w:val="en-US"/>
        </w:rPr>
        <w:t>Ar</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cieņu</w:t>
      </w:r>
      <w:proofErr w:type="spellEnd"/>
      <w:r>
        <w:rPr>
          <w:rFonts w:ascii="Verdana" w:hAnsi="Verdana"/>
          <w:color w:val="000000"/>
          <w:sz w:val="20"/>
          <w:szCs w:val="20"/>
          <w:lang w:val="en-US"/>
        </w:rPr>
        <w:t>,</w:t>
      </w:r>
    </w:p>
    <w:p w:rsidR="00D358AA" w:rsidRDefault="00D358AA" w:rsidP="00D358AA"/>
    <w:p w:rsidR="00D358AA" w:rsidRDefault="00D358AA" w:rsidP="00D358AA">
      <w:pPr>
        <w:rPr>
          <w:rFonts w:ascii="Verdana" w:hAnsi="Verdana"/>
        </w:rPr>
      </w:pPr>
      <w:r>
        <w:rPr>
          <w:rFonts w:ascii="Verdana" w:hAnsi="Verdana"/>
          <w:b/>
          <w:bCs/>
          <w:color w:val="000000"/>
          <w:sz w:val="20"/>
          <w:szCs w:val="20"/>
        </w:rPr>
        <w:t xml:space="preserve">Beatrise </w:t>
      </w:r>
      <w:proofErr w:type="spellStart"/>
      <w:r>
        <w:rPr>
          <w:rFonts w:ascii="Verdana" w:hAnsi="Verdana"/>
          <w:b/>
          <w:bCs/>
          <w:color w:val="000000"/>
          <w:sz w:val="20"/>
          <w:szCs w:val="20"/>
        </w:rPr>
        <w:t>Suharževska</w:t>
      </w:r>
      <w:proofErr w:type="spellEnd"/>
    </w:p>
    <w:p w:rsidR="00D358AA" w:rsidRDefault="00D358AA" w:rsidP="00D358AA">
      <w:pPr>
        <w:rPr>
          <w:rFonts w:ascii="Verdana" w:hAnsi="Verdana"/>
        </w:rPr>
      </w:pPr>
      <w:proofErr w:type="spellStart"/>
      <w:r>
        <w:rPr>
          <w:rFonts w:ascii="Verdana" w:hAnsi="Verdana"/>
          <w:color w:val="000000"/>
          <w:sz w:val="20"/>
          <w:szCs w:val="20"/>
          <w:lang w:val="en-US"/>
        </w:rPr>
        <w:t>Satiksmes</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ministrijas</w:t>
      </w:r>
      <w:proofErr w:type="spellEnd"/>
    </w:p>
    <w:p w:rsidR="00D358AA" w:rsidRDefault="00D358AA" w:rsidP="00D358AA">
      <w:pPr>
        <w:rPr>
          <w:rFonts w:ascii="Verdana" w:hAnsi="Verdana"/>
        </w:rPr>
      </w:pPr>
      <w:proofErr w:type="spellStart"/>
      <w:r>
        <w:rPr>
          <w:rFonts w:ascii="Verdana" w:hAnsi="Verdana"/>
          <w:color w:val="000000"/>
          <w:sz w:val="20"/>
          <w:szCs w:val="20"/>
          <w:lang w:val="en-US"/>
        </w:rPr>
        <w:t>Juridiskā</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departamenta</w:t>
      </w:r>
      <w:proofErr w:type="spellEnd"/>
    </w:p>
    <w:p w:rsidR="00D358AA" w:rsidRDefault="00D358AA" w:rsidP="00D358AA">
      <w:pPr>
        <w:rPr>
          <w:rFonts w:ascii="Verdana" w:hAnsi="Verdana"/>
        </w:rPr>
      </w:pPr>
      <w:proofErr w:type="spellStart"/>
      <w:r>
        <w:rPr>
          <w:rFonts w:ascii="Verdana" w:hAnsi="Verdana"/>
          <w:color w:val="000000"/>
          <w:sz w:val="20"/>
          <w:szCs w:val="20"/>
          <w:lang w:val="en-US"/>
        </w:rPr>
        <w:t>Tiesību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aktu</w:t>
      </w:r>
      <w:proofErr w:type="spellEnd"/>
      <w:r>
        <w:rPr>
          <w:rFonts w:ascii="Verdana" w:hAnsi="Verdana"/>
          <w:color w:val="000000"/>
          <w:sz w:val="20"/>
          <w:szCs w:val="20"/>
          <w:lang w:val="en-US"/>
        </w:rPr>
        <w:t xml:space="preserve"> </w:t>
      </w:r>
      <w:proofErr w:type="spellStart"/>
      <w:r>
        <w:rPr>
          <w:rFonts w:ascii="Verdana" w:hAnsi="Verdana"/>
          <w:color w:val="000000"/>
          <w:sz w:val="20"/>
          <w:szCs w:val="20"/>
          <w:lang w:val="en-US"/>
        </w:rPr>
        <w:t>nodaļas</w:t>
      </w:r>
      <w:proofErr w:type="spellEnd"/>
      <w:r>
        <w:rPr>
          <w:rFonts w:ascii="Verdana" w:hAnsi="Verdana"/>
          <w:color w:val="000000"/>
          <w:sz w:val="20"/>
          <w:szCs w:val="20"/>
          <w:lang w:val="en-US"/>
        </w:rPr>
        <w:t xml:space="preserve"> </w:t>
      </w:r>
      <w:r>
        <w:rPr>
          <w:rFonts w:ascii="Verdana" w:hAnsi="Verdana"/>
          <w:color w:val="000000"/>
          <w:sz w:val="20"/>
          <w:szCs w:val="20"/>
        </w:rPr>
        <w:t>juriskonsulte</w:t>
      </w:r>
    </w:p>
    <w:p w:rsidR="00D358AA" w:rsidRDefault="00D358AA" w:rsidP="00D358AA">
      <w:pPr>
        <w:rPr>
          <w:rFonts w:ascii="Verdana" w:hAnsi="Verdana"/>
        </w:rPr>
      </w:pPr>
      <w:proofErr w:type="spellStart"/>
      <w:r>
        <w:rPr>
          <w:rFonts w:ascii="Verdana" w:hAnsi="Verdana"/>
          <w:color w:val="000000"/>
          <w:sz w:val="20"/>
          <w:szCs w:val="20"/>
          <w:lang w:val="en-US"/>
        </w:rPr>
        <w:t>Tālrunis</w:t>
      </w:r>
      <w:proofErr w:type="spellEnd"/>
      <w:r>
        <w:rPr>
          <w:rFonts w:ascii="Verdana" w:hAnsi="Verdana"/>
          <w:color w:val="000000"/>
          <w:sz w:val="20"/>
          <w:szCs w:val="20"/>
          <w:lang w:val="en-US"/>
        </w:rPr>
        <w:t>: +371 67028</w:t>
      </w:r>
      <w:r>
        <w:rPr>
          <w:rFonts w:ascii="Verdana" w:hAnsi="Verdana"/>
          <w:color w:val="000000"/>
          <w:sz w:val="20"/>
          <w:szCs w:val="20"/>
        </w:rPr>
        <w:t>253</w:t>
      </w:r>
    </w:p>
    <w:p w:rsidR="00D358AA" w:rsidRDefault="00D358AA" w:rsidP="00D358AA">
      <w:pPr>
        <w:rPr>
          <w:rFonts w:ascii="Verdana" w:hAnsi="Verdana"/>
        </w:rPr>
      </w:pPr>
      <w:r>
        <w:rPr>
          <w:rFonts w:ascii="Verdana" w:hAnsi="Verdana"/>
          <w:color w:val="000000"/>
          <w:sz w:val="20"/>
          <w:szCs w:val="20"/>
          <w:lang w:val="en-US"/>
        </w:rPr>
        <w:t>E</w:t>
      </w:r>
      <w:r>
        <w:rPr>
          <w:rFonts w:ascii="Verdana" w:hAnsi="Verdana"/>
          <w:color w:val="000000"/>
          <w:sz w:val="20"/>
          <w:szCs w:val="20"/>
        </w:rPr>
        <w:t>-</w:t>
      </w:r>
      <w:r>
        <w:rPr>
          <w:rFonts w:ascii="Verdana" w:hAnsi="Verdana"/>
          <w:color w:val="000000"/>
          <w:sz w:val="20"/>
          <w:szCs w:val="20"/>
          <w:lang w:val="en-US"/>
        </w:rPr>
        <w:t xml:space="preserve">pasts: </w:t>
      </w:r>
      <w:hyperlink r:id="rId5" w:history="1">
        <w:r>
          <w:rPr>
            <w:rStyle w:val="Hyperlink"/>
            <w:rFonts w:ascii="Verdana" w:hAnsi="Verdana"/>
            <w:color w:val="0000FF"/>
            <w:sz w:val="20"/>
            <w:szCs w:val="20"/>
          </w:rPr>
          <w:t>beatrise.suharzevska@sam.gov.lv</w:t>
        </w:r>
      </w:hyperlink>
      <w:r>
        <w:rPr>
          <w:rFonts w:ascii="Verdana" w:hAnsi="Verdana"/>
          <w:color w:val="000000"/>
          <w:sz w:val="20"/>
          <w:szCs w:val="20"/>
        </w:rPr>
        <w:t xml:space="preserve"> </w:t>
      </w:r>
    </w:p>
    <w:p w:rsidR="00D358AA" w:rsidRDefault="00D358AA" w:rsidP="00D358AA">
      <w:pPr>
        <w:rPr>
          <w:rFonts w:ascii="Verdana" w:hAnsi="Verdana"/>
        </w:rPr>
      </w:pPr>
      <w:hyperlink r:id="rId6" w:tooltip="http://www.sam.gov.lv/" w:history="1">
        <w:r>
          <w:rPr>
            <w:rStyle w:val="Hyperlink"/>
            <w:rFonts w:ascii="Verdana" w:hAnsi="Verdana"/>
            <w:color w:val="0000FF"/>
            <w:sz w:val="20"/>
            <w:szCs w:val="20"/>
            <w:lang w:val="en-US"/>
          </w:rPr>
          <w:t>www.sam.gov.lv</w:t>
        </w:r>
      </w:hyperlink>
    </w:p>
    <w:p w:rsidR="00D358AA" w:rsidRDefault="00D358AA" w:rsidP="00D358AA">
      <w:pPr>
        <w:rPr>
          <w:rFonts w:ascii="Verdana" w:hAnsi="Verdana"/>
          <w:color w:val="0000FF"/>
          <w:u w:val="single"/>
          <w:lang w:val="en-US"/>
        </w:rPr>
      </w:pPr>
      <w:hyperlink r:id="rId7" w:history="1">
        <w:r>
          <w:rPr>
            <w:rStyle w:val="Hyperlink"/>
            <w:rFonts w:ascii="Verdana" w:hAnsi="Verdana"/>
            <w:color w:val="0000FF"/>
            <w:sz w:val="20"/>
            <w:szCs w:val="20"/>
            <w:lang w:val="en-US"/>
          </w:rPr>
          <w:t>www.facebook.com/satiksmesministrija</w:t>
        </w:r>
      </w:hyperlink>
    </w:p>
    <w:p w:rsidR="00D358AA" w:rsidRDefault="00D358AA" w:rsidP="00D358AA">
      <w:pPr>
        <w:rPr>
          <w:rFonts w:ascii="Verdana" w:hAnsi="Verdana"/>
          <w:color w:val="0000FF"/>
          <w:sz w:val="20"/>
          <w:szCs w:val="20"/>
          <w:u w:val="single"/>
          <w:lang w:val="en-US"/>
        </w:rPr>
      </w:pPr>
      <w:hyperlink r:id="rId8" w:history="1">
        <w:r>
          <w:rPr>
            <w:rStyle w:val="Hyperlink"/>
            <w:rFonts w:ascii="Verdana" w:hAnsi="Verdana"/>
            <w:color w:val="0000FF"/>
            <w:sz w:val="20"/>
            <w:szCs w:val="20"/>
            <w:lang w:val="en-US"/>
          </w:rPr>
          <w:t>www.twitter.com/Sat_Min</w:t>
        </w:r>
      </w:hyperlink>
      <w:r>
        <w:rPr>
          <w:rFonts w:ascii="Verdana" w:hAnsi="Verdana"/>
          <w:color w:val="0000FF"/>
          <w:sz w:val="20"/>
          <w:szCs w:val="20"/>
          <w:u w:val="single"/>
          <w:lang w:val="en-US"/>
        </w:rPr>
        <w:t xml:space="preserve"> </w:t>
      </w:r>
    </w:p>
    <w:p w:rsidR="00D358AA" w:rsidRDefault="00D358AA" w:rsidP="00D358AA">
      <w:pPr>
        <w:rPr>
          <w:rFonts w:ascii="Times New Roman" w:hAnsi="Times New Roman" w:cs="Times New Roman"/>
          <w:sz w:val="24"/>
          <w:szCs w:val="24"/>
        </w:rPr>
      </w:pPr>
    </w:p>
    <w:p w:rsidR="00B86E56" w:rsidRDefault="00B86E56">
      <w:bookmarkStart w:id="0" w:name="_GoBack"/>
      <w:bookmarkEnd w:id="0"/>
    </w:p>
    <w:sectPr w:rsidR="00B86E5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8AA"/>
    <w:rsid w:val="00B86E56"/>
    <w:rsid w:val="00D358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9B6D24-06E7-4F06-8C9E-894159D8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8AA"/>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58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1309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witter.com/Sat_Min" TargetMode="External"/><Relationship Id="rId3" Type="http://schemas.openxmlformats.org/officeDocument/2006/relationships/webSettings" Target="webSettings.xml"/><Relationship Id="rId7" Type="http://schemas.openxmlformats.org/officeDocument/2006/relationships/hyperlink" Target="http://www.facebook.com/satiksmesministrij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m.gov.lv/" TargetMode="External"/><Relationship Id="rId5" Type="http://schemas.openxmlformats.org/officeDocument/2006/relationships/hyperlink" Target="mailto:beatrise.suharzevska@sam.gov.lv"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6153</Words>
  <Characters>3508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Jankovska</dc:creator>
  <cp:keywords/>
  <dc:description/>
  <cp:lastModifiedBy>Kristīne Jankovska</cp:lastModifiedBy>
  <cp:revision>1</cp:revision>
  <dcterms:created xsi:type="dcterms:W3CDTF">2022-01-10T12:45:00Z</dcterms:created>
  <dcterms:modified xsi:type="dcterms:W3CDTF">2022-01-10T12:45:00Z</dcterms:modified>
</cp:coreProperties>
</file>