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ierosinātos grozījumus noteikumu projekta 3., 4. un 5.punktā, kas paredz precizēt investīcijas ietvaros sasniedzamos mērķus un uzraudzības rādītājus.  Vēršam uzmanību, ka MK noteikumos Nr.460 noteiktie mērķi, uzraudzības rādītāji, kā arī to redakcijas un sasniedzamās vērtības ir saskaņotas ar Eiropas Komisiju un ietvertas Komisijas lēmumā, ar ko apstiprina grozījumus Darbības kārtībā, par kuru vienojušās Eiropas Komisija un Latvijas Republika saskaņā ar Regulu (ES) 2021/241. Tāpat vēršam uzmanību, ka  anotācijā nav ietverta informācija, kas pamato ierosināto grozījumu nepieciešamību noteikumu projekta 3., 4. un 5.punktā.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Noteikumu projekta 4. un 5. punktā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 punktu (šī brīža 4. punktu) skaidrojam, ka ar Eiropas Komisiju saskaņotajā Latvijas Atveseļošanas fonda plānā gan uzraudzības rādītāja, gan mērķa ievadvārdi noteikti vienādā redakcijā, t.i. “Apstiprināti projekti par vismaz (…)”. Lai nodrošinātu vienotu un visiem nepārprotami skaidru izpratni gan par uzraudzības rādītāja, gan mērķa sasniegšanu (kā to paredz Latvijas Atveseļošanas fonda plāns), nepieciešams precizēt  Noteikumu 6.2.1. akšpunkta redakcijas, nosakot, ka rādītāja izpildē tiek iekļauta apstiprināto projektu kopsumma. Papildus norādām, ka ar apstiprinātiem projektiem tiek saprasti projekti, kuriem Altum ir pieņēmusi lēmumu (sniegusi atzinumu) par kapitāla atlaides rezervāciju.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anotācijā ietverta informācija par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Sabiedrība "Altum" pārliecinās, ka attiecībā uz subjektiem, kas savu īpašumu neizmanto saimnieciskās darbības veikšanai, tai skaitā iznomāšanai, tiks ievērots nosacījums, ka vismaz 80 % no koplietošanas iekārtu saražotās enerģijas tiks izmantots pašpatēriņam gada griezumā.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izslēdzošais nosacījums, ka vismaz 80% no koplietošanas iekārtu saražotās enerģijas tiks izmantots pašpatēriņam gada griezumā, ir jānodrošina iekārtu amortizācijas periodā, lūdzam noteikumu 32.punktu papildināt ar vārdiem "iekārtu amortizācijas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papildus skaidrojums iekļauts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Sabiedrība "Altum" pārliecinās, ka attiecībā uz subjektiem, kas savu īpašumu neizmanto saimnieciskās darbības veikšanai, tai skaitā iznomāšanai, tiks ievērots nosacījums, ka vismaz 80 % no koplietošanas iekārtu saražotās enerģijas tiks izmantots pašpatēriņam gada griezumā, visā iekārtu amortizācijas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energoefektivitātes uzlabošanas pasākumus veic īpašumā, kurā kāds no dzīvokļu īpašniekiem ir saimnieciskās darbības veicējs, un konkrētais dzīvokļa īpašums tiek izmantots saimnieciskajā darbībā, un ja dzīvokļa īpašnieks pretendē uz atbalstu, kas kvalificējams kā komercdarbības atbalsts, tad atbalstu projekta ietvaros sniedz saskaņā ar Komisijas 2023. gada 13. decembra Regulu (ES) Nr. 2023/2831 par Līguma par Eiropas Savienības darbību 107. un 108. panta piemērošanu de minimis atbalstam (turpmāk – regula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tiek papildināts ar nosacījumu, ka atbalstu varēs saņemt arī juridiska persona, kura ir mājas vienīgais dzīvokļu īpašnieks, lūdzam precizēt noteikumu 76.punktu un pārskatīt un precizēt noteikumus kopumā, jo juridiska persona, kura ir mājas vienīgais dzīvokļu īpašnieks, vienmēr kvalificēsies kā komercdarbības atbalsta saņēmējs, izņemot šo noteikumu 77.punktā noteiktos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apakšpunkta definīcija precizēta, tajā iekļaujot nosacījumu, ka dzīvokļu īpašnieks var būt arī mājas vienīgais īpašnieks. Šāda pieeja nodrošinās izpratni par to, ka ar dzīvokļu īpašniekiem saprotam arī juridiskas personas, kas var kvalificēsies kā komercdarbības atbalsta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energoefektivitātes uzlabošanas pasākumus veic īpašumā, kurā kāds no dzīvokļu īpašniekiem ir saimnieciskās darbības veicējs, un konkrētais dzīvokļa īpašums tiek izmantots saimnieciskajā darbībā, un ja dzīvokļa īpašnieks pretendē uz atbalstu, kas kvalificējams kā komercdarbības atbalsts, tad atbalstu projekta ietvaros sniedz saskaņā ar Komisijas 2023. gada 13. decembra Regulu (ES) Nr. 2023/2831 par Līguma par Eiropas Savienības darbību 107. un 108. panta piemērošanu de minimis atbalstam (turpmāk – regula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Atbalsts netiek piešķirts regulas Nr. </w:t>
            </w:r>
            <w:r w:rsidR="00000000" w:rsidRPr="00000000" w:rsidDel="00000000">
              <w:rPr>
                <w:rtl w:val="0"/>
              </w:rPr>
              <w:t xml:space="preserve">2023/2831 </w:t>
            </w:r>
            <w:r w:rsidR="00000000" w:rsidRPr="00000000" w:rsidDel="00000000">
              <w:rPr>
                <w:rtl w:val="0"/>
              </w:rPr>
              <w:t xml:space="preserve"> 1. panta 1. punktā noteiktajās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aicinām noteikumu projekta 83.punktu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nepiešķir regulas Nr.2023/2831 1.panta 1.punkta a), b), c) un d) apakšpunktā noteiktajām nozarēm un regulas Nr.2023/2831 1.panta 1.punkta e) un f) apakšpunktā noteiktajām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 punkts tehniski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De minimis atbalstu saskaņā ar Komisijas regulu Nr.2023/2831, piešķir, ievērojot Komisijas regulas Nr.2023/2831 1.panta 1.punktā minētos nozaru un darbību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saimnieciskās darbības veicējs darbojas regulas Nr. </w:t>
            </w:r>
            <w:r w:rsidR="00000000" w:rsidRPr="00000000" w:rsidDel="00000000">
              <w:rPr>
                <w:rtl w:val="0"/>
              </w:rPr>
              <w:t xml:space="preserve">2023/2831 </w:t>
            </w:r>
            <w:r w:rsidR="00000000" w:rsidRPr="00000000" w:rsidDel="00000000">
              <w:rPr>
                <w:rtl w:val="0"/>
              </w:rPr>
              <w:t xml:space="preserve"> 1. panta 1. punkta "a", "b", "c" vai "d" apakšpunktā minētajās nozarēs, atbalstu šo noteikumu ietvaros drīkst piešķirt tikai tad, ja tiek skaidri nodalītas atbalstāmās darbības un finanšu plūsmas, nodrošinot, ka darbības regulas Nr. </w:t>
            </w:r>
            <w:r w:rsidR="00000000" w:rsidRPr="00000000" w:rsidDel="00000000">
              <w:rPr>
                <w:rtl w:val="0"/>
              </w:rPr>
              <w:t xml:space="preserve">2023/2831</w:t>
            </w:r>
            <w:r w:rsidR="00000000" w:rsidRPr="00000000" w:rsidDel="00000000">
              <w:rPr>
                <w:rtl w:val="0"/>
              </w:rPr>
              <w:t xml:space="preserve"> 1. panta 1. punkta "a","b", "c" vai "d" apakšpunktā minētajās nozarēs negūst labumu no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lūdzam noteikumu projekta 84.punktu precizēt un papildināt,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veicējs darbojas regulas Nr. 2023/2831 1. panta 1. punkta "a", "b", "c" vai "d" apakšpunktā minētajās nozarēs, atbalstu šo noteikumu ietvaros drīkst piešķirt tikai tad, ja tiek skaidri nodalītas nozaru darbības un to uzskaite, nodrošinot, ka darbības regulas Nr. 2023/2831 1. panta 1. punkta "a","b", "c" vai "d" apakšpunktā minētajās nozarēs negūst labumu no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84. punkts tehniski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saimnieciskās darbības veicējs darbojas regulas Nr. 2023/2831 1. panta 1. punkta "a", "b", "c" vai "d" apakšpunktā minētajās nozarēs, atbalstu šo noteikumu ietvaros drīkst piešķirt tikai tad, ja tiek skaidri nodalītas nozaru darbības un to uzskaite, nodrošinot, ka darbības regulas Nr. 2023/2831 1. panta 1. punkta "a","b", "c" vai "d" apakšpunktā minētajās nozarēs negūst labumu no piešķirtā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Plānotais </w:t>
            </w:r>
            <w:r w:rsidR="00000000" w:rsidRPr="00000000" w:rsidDel="00000000">
              <w:rPr>
                <w:i w:val="1"/>
                <w:rtl w:val="0"/>
              </w:rPr>
              <w:t xml:space="preserve">de minimis</w:t>
            </w:r>
            <w:r w:rsidR="00000000" w:rsidRPr="00000000" w:rsidDel="00000000">
              <w:rPr>
                <w:rtl w:val="0"/>
              </w:rPr>
              <w:t xml:space="preserve"> atbalsts kopā ar iepriekšējo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regulas Nr. 2023/2831 3. panta 2. punkta limitu, kā arī ievērojot regulas Nr. 2023/2831 3. panta 8. punkta nosacījumus uzņēmumu apvienošanās vai iegādes gadījumā un regulas Nr.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lūdzam noteikumu projekta 85.punktu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kā nosakāms trīs gadu laika posms, norādot, ka ar trīs gadu periodu saprotams laika periods no konkrēta datuma, kas ir jaunā piešķiramā atbalsta datums, līdz konkrētam datumam pirms trim gadiem,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85.punktā iekļaut nosacījumu par pieļaujamā de minimis atbalsta apjoma pārbaudi viena vienota uzņēmuma līmenī atbilstoši Komisijas regulas Nr.2023/2831 2.panta 2.punktā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atbalsta sniedzējs pārbauda, vai plānotais de minimis atbalsts kopā ar iepriekšējos trīs gados, skaitot no atbalsta piešķiršanas dienas, saņemto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85. punkts precizēts. Papildus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iekļauts 85.</w:t>
            </w:r>
            <w:r w:rsidR="00000000" w:rsidRPr="00000000" w:rsidDel="00000000">
              <w:rPr>
                <w:vertAlign w:val="superscript"/>
                <w:rtl w:val="0"/>
              </w:rPr>
              <w:t xml:space="preserve">1</w:t>
            </w:r>
            <w:r w:rsidR="00000000" w:rsidRPr="00000000" w:rsidDel="00000000">
              <w:rPr>
                <w:rtl w:val="0"/>
              </w:rPr>
              <w:t xml:space="preserve"> punkts, kurā atrunāti nosacījumi uzņēmumu apvienošanās vai iegādes gadījumā kā arī sadalīšanās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saimnieciskā darbības veicēja līmenī nepārsniedz Komisijas regulas Nr.2023/2831 3.panta 2.punktā noteikto maksimālo </w:t>
            </w:r>
            <w:r w:rsidR="00000000" w:rsidRPr="00000000" w:rsidDel="00000000">
              <w:rPr>
                <w:i w:val="1"/>
                <w:rtl w:val="0"/>
              </w:rPr>
              <w:t xml:space="preserve">de minimis</w:t>
            </w:r>
            <w:r w:rsidR="00000000" w:rsidRPr="00000000" w:rsidDel="00000000">
              <w:rPr>
                <w:rtl w:val="0"/>
              </w:rPr>
              <w:t xml:space="preserve"> atbalsta apmēru. Viens vienots saimnieciskās darbības veicējs atbilst Komisijas regulas Nr.2023/2831 2.panta 2.punktā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papildināt anotācijas 1.3. sadaļu ar informāciju par plānoto grozījumu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(turpmāk - MK noteikumi Nr.460) ietekmi uz īstenošanā esošajiem projektiem, t.sk. norādot, vai būs nepieciešami grozījumi līgumos par projekta īstenošanu, ņemot vērā, ka ar noteikumu projektu tiek paplašināts atbalsta saņēmēju loks (dzīvokļa īpašumos sadalītas dzīvojamās mājas vienīgais dzīvokļu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1.3. sadaļas "Risinājuma apraksts" pēdējā rindkopā ir iekļauts skaidrojums, ka ietvertie risinājumi neparedz veikt grozījumus jau esošos līgumos, kas noslēgti starp pilnvaroto personu un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1.3. sadaļas problēmas un risinājuma aprakstus, norādot katram problēmas un risinājuma aprakstam korektu un savstarpēji atbilstošu numerāciju. Norādām, ka pašreiz risinājumu numerācija dažviet neatbilst attiecīgajam pamatojumam, turklāt 5. risinājuma apraksts ir novietots pa vidu citam risinājuma aprakstam. Attiecīgi aicinām pārskatīt un precizēt anotāciju, nodrošinot loģisku un secīgu tajā ietverto skaidrojumu izklāstu.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pārskatīta, papildināta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par plānoto grozījumu MK noteikumos Nr. 460 ietekmi uz īstenošanā esošajiem projektiem, un vai būs nepieciešami grozījumi līgumos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 papildinot ar ietekmi uz īstenošanā esošajiem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5.4. sadaļas 1. tabulā norādītās projekta vienības, kurās ieviestas regulu prasības, piemēram, šādi: "</w:t>
            </w:r>
            <w:r w:rsidR="00000000" w:rsidRPr="00000000" w:rsidDel="00000000">
              <w:rPr>
                <w:i w:val="1"/>
                <w:rtl w:val="0"/>
              </w:rPr>
              <w:t xml:space="preserve">Noteikumu projekta 13. punkts (noteikumu 81.4. apakšpunkts)</w:t>
            </w:r>
            <w:r w:rsidR="00000000" w:rsidRPr="00000000" w:rsidDel="00000000">
              <w:rPr>
                <w:rtl w:val="0"/>
              </w:rPr>
              <w:t xml:space="preserve">". Papildus aicinām pilnīgāk aizpildīt tabulu, ņemot vērā, ka atsauces uz regulu ir ietvertas arī citās 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atbalsts pasākuma ietvaros tiek piešķirts saskaņā ar Komisijas regulu Nr.2023/2831, lūdzam svītrot anotācijas sadaļā "Saistības sniegt paziņojumu ES institūcijām un ES dalībvalstīm atbilstoši normatīvajiem aktiem, kas regulē informācijas sniegšanu par tehnisko noteikumu, valsts atbalsta piešķiršanas un finanšu noteikumu (attiecībā uz monetāro politiku) projektiem"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tehniski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dzīvokļu īpašnieki – šo noteikumu izpratnē dzīvokļa īpašumos sadalītu dzīvojamo māju dzīvokļu īpašnieki vai vienīgais dzīvokļa īpašnieks un dzīvokļa īpašumos nesadalītu dzīvojamo māju kopīpašnieki vai vienīgais dzīvokļu īpašnieks, kuru īpašumtiesības ir nostiprinātas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2. punktā jaunā redakcijā izteikto noteikumu 2.3. apakšpunktu vai sniegt skaidrojumu. Pirmkārt, aicinām izvērtēt, vai frāzē "vienīgais dzīvokļ</w:t>
            </w:r>
            <w:r w:rsidR="00000000" w:rsidRPr="00000000" w:rsidDel="00000000">
              <w:rPr>
                <w:u w:val="single"/>
                <w:rtl w:val="0"/>
              </w:rPr>
              <w:t xml:space="preserve">a</w:t>
            </w:r>
            <w:r w:rsidR="00000000" w:rsidRPr="00000000" w:rsidDel="00000000">
              <w:rPr>
                <w:rtl w:val="0"/>
              </w:rPr>
              <w:t xml:space="preserve"> īpašnieks" nav jābūt norādei uz "dzīvokļ</w:t>
            </w:r>
            <w:r w:rsidR="00000000" w:rsidRPr="00000000" w:rsidDel="00000000">
              <w:rPr>
                <w:u w:val="single"/>
                <w:rtl w:val="0"/>
              </w:rPr>
              <w:t xml:space="preserve">u</w:t>
            </w:r>
            <w:r w:rsidR="00000000" w:rsidRPr="00000000" w:rsidDel="00000000">
              <w:rPr>
                <w:rtl w:val="0"/>
              </w:rPr>
              <w:t xml:space="preserve">" īpašnieku. Otrkārt, lūdzam izvērtēt un precizēt apakšpunktu attiecībā uz vārdu "vai vienīgais </w:t>
            </w:r>
            <w:r w:rsidR="00000000" w:rsidRPr="00000000" w:rsidDel="00000000">
              <w:rPr>
                <w:u w:val="single"/>
                <w:rtl w:val="0"/>
              </w:rPr>
              <w:t xml:space="preserve">dzīvokļu</w:t>
            </w:r>
            <w:r w:rsidR="00000000" w:rsidRPr="00000000" w:rsidDel="00000000">
              <w:rPr>
                <w:rtl w:val="0"/>
              </w:rPr>
              <w:t xml:space="preserve"> īpašnieks" novietošanu aiz vārdiem "</w:t>
            </w:r>
            <w:r w:rsidR="00000000" w:rsidRPr="00000000" w:rsidDel="00000000">
              <w:rPr>
                <w:u w:val="single"/>
                <w:rtl w:val="0"/>
              </w:rPr>
              <w:t xml:space="preserve">dzīvokļa īpašumos nesadalītu dzīvojamo māju </w:t>
            </w:r>
            <w:r w:rsidR="00000000" w:rsidRPr="00000000" w:rsidDel="00000000">
              <w:rPr>
                <w:rtl w:val="0"/>
              </w:rPr>
              <w:t xml:space="preserve">kopīpašnieki", jo attiecīgajā teikuma daļā nav runa par dzīvokļiem, bet gan par dzīvokļa īpašumos nesadalītu dzīvojamo māju. Attiecīgi lūdzam izvērtēt un vai nu precizēt apakšpunktu, veidojot skaidru un nepārprotamu normu, vai arī sniegt attiecīgu skaidrojumu par normas tvērumu un piemērošanu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tehniski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dzīvokļu īpašnieki – šo noteikumu izpratnē dzīvokļa īpašumos sadalītu dzīvojamo māju dzīvokļu īpašnieki, dzīvokļa īpašumos nesadalītu dzīvojamo māju kopīpašnieki vai persona, kura ir mājas vienīgais dzīvokļu īpašnieks, kura īpašumtiesības ir nostiprinātas zemesgrāmatā;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līdz 2024. gada 30. septembrim sabiedrība "Altum" ir apstiprinājusi projektus, kuru kopsumma ir vismaz 40 097 400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ierosinātos grozījumus noteikumu projekta 3. punktā, kas paredz precizēt investīcijas ietvaros sasniedzamā mērķa redakciju. Vēršam uzmanību, ka MK noteikumos Nr.460 noteiktie mērķi, uzraudzības rādītāji, kā arī to redakcijas un sasniedzamās vērtības ir saskaņotas ar Eiropas Komisiju un ietvertas Komisijas lēmumā, ar ko apstiprina grozījumus Darbības kārtībā, par kuru vienojušās Eiropas Komisija un Latvijas Republika saskaņā ar Eiropas Parlamenta un Padomes 2021. gada 12. februāra Regulu (ES) 2021/241,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4. punkts redakcionāli precizēts, lai izteiktā redakcija būtu saskaņā ar redakciju, kuru apstiprinājusi Eiropas Komisija un kura ietverta Komisijas lēmumā, ar ko apstiprina grozījumus Darbības kārtībā, par kuru vienojušās Eiropas Komisija un Latvijas Republika saskaņā ar Eiropas Parlamenta un Padomes 2021. gada 12. februāra Regulu (ES) 2021/241, ar ko izveido Atveseļošanas un noturības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kas pārsniedz šo noteikumu 26. punktā noteikto projekta attiecināmo izmaksu ierobežojumu, tiek segtas no līdzekļiem, kas nav saistītas ar Atveseļošanas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 460 plānoto 26.</w:t>
            </w:r>
            <w:r w:rsidR="00000000" w:rsidRPr="00000000" w:rsidDel="00000000">
              <w:rPr>
                <w:vertAlign w:val="superscript"/>
                <w:rtl w:val="0"/>
              </w:rPr>
              <w:t xml:space="preserve">1</w:t>
            </w:r>
            <w:r w:rsidR="00000000" w:rsidRPr="00000000" w:rsidDel="00000000">
              <w:rPr>
                <w:rtl w:val="0"/>
              </w:rPr>
              <w:t xml:space="preserve"> punktu, norādot subjektu, kam punktā minētās izmaksas būs jāsedz.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ir nepieciešams aprakstīt visus plānotos grozījumus. Attiecīgi, lai nodrošinātu viennozīmīgi skaidru un pamatotu izsekojamību ierosināto grozījumu nepieciešamībai, lūdzam papildināt anotāciju ar pamatojumu jauna 26.</w:t>
            </w:r>
            <w:r w:rsidR="00000000" w:rsidRPr="00000000" w:rsidDel="00000000">
              <w:rPr>
                <w:vertAlign w:val="superscript"/>
                <w:rtl w:val="0"/>
              </w:rPr>
              <w:t xml:space="preserve">1</w:t>
            </w:r>
            <w:r w:rsidR="00000000" w:rsidRPr="00000000" w:rsidDel="00000000">
              <w:rPr>
                <w:rtl w:val="0"/>
              </w:rPr>
              <w:t xml:space="preserve"> punkta iekļaušanai MK noteikumos Nr. 460. Vēršam uzmanību, ka no anotācijā pieejamās informācijas nav izsekojama attiecīgo nosacījumu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w:t>
            </w:r>
            <w:r w:rsidR="00000000" w:rsidRPr="00000000" w:rsidDel="00000000">
              <w:rPr>
                <w:vertAlign w:val="superscript"/>
                <w:rtl w:val="0"/>
              </w:rPr>
              <w:t xml:space="preserve">1</w:t>
            </w:r>
            <w:r w:rsidR="00000000" w:rsidRPr="00000000" w:rsidDel="00000000">
              <w:rPr>
                <w:rtl w:val="0"/>
              </w:rPr>
              <w:t xml:space="preserve"> punkts tehniski precizēts. Papildus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kas pārsniedz šo noteikumu 26. punktā noteikto projekta attiecināmo izmaksu ierobežojumu, dzīvokļu īpašnieki sedz no līdzekļiem, kas nav saistītas ar Atveseļošanas fonda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ir ievērots šo noteikumu </w:t>
            </w:r>
            <w:r w:rsidR="00000000" w:rsidRPr="00000000" w:rsidDel="00000000">
              <w:rPr>
                <w:rtl w:val="0"/>
              </w:rPr>
              <w:t xml:space="preserve">26.</w:t>
            </w:r>
            <w:r w:rsidR="00000000" w:rsidRPr="00000000" w:rsidDel="00000000">
              <w:rPr>
                <w:rtl w:val="0"/>
              </w:rPr>
              <w:t xml:space="preserve">1. apakšpunkta</w:t>
            </w:r>
            <w:r w:rsidR="00000000" w:rsidRPr="00000000" w:rsidDel="00000000">
              <w:rPr>
                <w:rtl w:val="0"/>
              </w:rPr>
              <w:t xml:space="preserve"> nosacījums par izmaksu ekonomisko pamatojumu;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noteikumu 71.2. apakšpunktā (projekta 11. punktā) ietverto iekšējo atsauci, ņemot vērā, ka noteikumos nav 26.1. apakšpunkts (šķiet, domāts noteikumu 26.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71.2. apakšpunkts tehniski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ir ievērots šo noteikumu </w:t>
            </w:r>
            <w:r w:rsidR="00000000" w:rsidRPr="00000000" w:rsidDel="00000000">
              <w:rPr>
                <w:rtl w:val="0"/>
              </w:rPr>
              <w:t xml:space="preserve">26</w:t>
            </w:r>
            <w:r w:rsidR="00000000" w:rsidRPr="00000000" w:rsidDel="00000000">
              <w:rPr>
                <w:rtl w:val="0"/>
              </w:rPr>
              <w:t xml:space="preserve">. punkta</w:t>
            </w:r>
            <w:r w:rsidR="00000000" w:rsidRPr="00000000" w:rsidDel="00000000">
              <w:rPr>
                <w:rtl w:val="0"/>
              </w:rPr>
              <w:t xml:space="preserve"> nosacījums par izmaksu ekonomisko pamatojumu;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77.1.2. </w:t>
            </w:r>
            <w:r w:rsidR="00000000" w:rsidRPr="00000000" w:rsidDel="00000000">
              <w:rPr>
                <w:rtl w:val="0"/>
              </w:rPr>
              <w:t xml:space="preserve">likumam "Par palīdzību dzīvokļa jautājumu risināšanā"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77.1.1.punkts jau paredz, ka pasākuma ietvaros pašvaldība nekustamo īpašumu var izmantot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77.1.2.punktā noteiktais to dublē. Attiecīgi lūdzam to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nepiemērojot komercdarbības atbalsta regulējumu pasākuma ietvaros, pašvaldība nekustamo īpašumu var izmantot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Citos gadījumos jāvērtē komercdarbības atbalsta regulējuma piemērošana. Lūdzam izvērtēt noteikumu 77.1.3. apakšpunktā minēto atsauci uz likumu "Par valsts un pašvaldību dzīvojamo māju privatizāciju", ņemot vērā to, ka prasības, kas attiecināmas uz sociālās aprūpes nodrošināšanu iedzīvotājiem un palīdzības sniegšanai iedzīvotājiem dzīvokļa jautājumu risināšanā, ir jau aptvertas un nosegtas ar likumu "Par palīdzību dzīvokļa jautājumu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71.1.2.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77.1.2. </w:t>
            </w:r>
            <w:r w:rsidR="00000000" w:rsidRPr="00000000" w:rsidDel="00000000">
              <w:rPr>
                <w:rtl w:val="0"/>
              </w:rPr>
              <w:t xml:space="preserve">likumam "Par palīdzību dzīvokļa jautājumu risināšanā"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sabiedrība "Altum" nodrošina dokumentācijas uzglabāšanu, ievērojot regulas Nr. </w:t>
            </w:r>
            <w:r w:rsidR="00000000" w:rsidRPr="00000000" w:rsidDel="00000000">
              <w:rPr>
                <w:rtl w:val="0"/>
              </w:rPr>
              <w:t xml:space="preserve">2023/2831 </w:t>
            </w:r>
            <w:r w:rsidR="00000000" w:rsidRPr="00000000" w:rsidDel="00000000">
              <w:rPr>
                <w:rtl w:val="0"/>
              </w:rPr>
              <w:t xml:space="preserve"> 6. panta 43. punktā minētos nosacījumus, un nodrošina informācijas pieejamību vismaz 10 gadus no pēdējā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81.6. apakšpunktā (projekta 14. punktā) tehniski precizēt atsauci uz regulas vienību (šķiet, domāts regulas Nr. 2023/2831 3.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81.6. apakšpunkts tehniski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sabiedrība "Altum" nodrošina dokumentācijas uzglabāšanu, ievērojot regulas Nr. </w:t>
            </w:r>
            <w:r w:rsidR="00000000" w:rsidRPr="00000000" w:rsidDel="00000000">
              <w:rPr>
                <w:rtl w:val="0"/>
              </w:rPr>
              <w:t xml:space="preserve">2023/2831 </w:t>
            </w:r>
            <w:r w:rsidR="00000000" w:rsidRPr="00000000" w:rsidDel="00000000">
              <w:rPr>
                <w:rtl w:val="0"/>
              </w:rPr>
              <w:t xml:space="preserve"> 6. panta 3. un 7. punktā minētos nosacījumus, un nodrošina informācijas pieejamību vismaz 10 gadus no pēdējā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sabiedrība "Altum" nodrošina dokumentācijas uzglabāšanu, ievērojot regulas Nr. </w:t>
            </w:r>
            <w:r w:rsidR="00000000" w:rsidRPr="00000000" w:rsidDel="00000000">
              <w:rPr>
                <w:rtl w:val="0"/>
              </w:rPr>
              <w:t xml:space="preserve">2023/2831 </w:t>
            </w:r>
            <w:r w:rsidR="00000000" w:rsidRPr="00000000" w:rsidDel="00000000">
              <w:rPr>
                <w:rtl w:val="0"/>
              </w:rPr>
              <w:t xml:space="preserve"> 6. panta 43. punktā minētos nosacījumus, un nodrošina informācijas pieejamību vismaz 10 gadus no pēdējā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81.6.punktā ietverto atsauci uz Komisijas regulas Nr.2023/2831 6.panta punktu. Vienlaikus skaidrojam, ka noteikumu projekta 81.6.punktā būtu iekļaujama vai nu atsauce, norādot sasaisti ar Komisijas regulas Nr.2023/2831 6.panta 3.punktu un Komisijas regulas Nr.2023/2831 6.panta 7.punktu, vai arī būtu svītrojama noteikumu projekta 81.6.punktā ietvertā atsauce uz Komisijas regulas Nr.2023/2831 6.panta punktu, atstājot nosacījumu par pienākumu nodrošināt informācijas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81.6. apakšpunkts tehniski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sabiedrība "Altum" nodrošina dokumentācijas uzglabāšanu, ievērojot regulas Nr. </w:t>
            </w:r>
            <w:r w:rsidR="00000000" w:rsidRPr="00000000" w:rsidDel="00000000">
              <w:rPr>
                <w:rtl w:val="0"/>
              </w:rPr>
              <w:t xml:space="preserve">2023/2831 </w:t>
            </w:r>
            <w:r w:rsidR="00000000" w:rsidRPr="00000000" w:rsidDel="00000000">
              <w:rPr>
                <w:rtl w:val="0"/>
              </w:rPr>
              <w:t xml:space="preserve"> 6. panta 3. un 7. punktā minētos nosacījumus, un nodrošina informācijas pieejamību vismaz 10 gadus no pēdējā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visus ar </w:t>
            </w:r>
            <w:r w:rsidR="00000000" w:rsidRPr="00000000" w:rsidDel="00000000">
              <w:rPr>
                <w:i w:val="1"/>
                <w:rtl w:val="0"/>
              </w:rPr>
              <w:t xml:space="preserve">de minimis</w:t>
            </w:r>
            <w:r w:rsidR="00000000" w:rsidRPr="00000000" w:rsidDel="00000000">
              <w:rPr>
                <w:rtl w:val="0"/>
              </w:rPr>
              <w:t xml:space="preserve"> saistītos datus glabā 10 gadus no dienas, kad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atbilstoši Komisijas regulas Nr. 2023/2831 6. panta 3. un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nosacījums, ka saimnieciskās darbības veicējam tiek noteikts pienākums ar de minimis saistītos datus glabāt 10 gadus no dienas, kad saskaņā ar šiem noteikumiem piešķirts pēdējais de minimis atbalsts, nav nepamatoti stingrāks. Vēršam uzmanību, ka parasti saimnieciskās darbības veicējam tiek noteikts pienākums ar de minimis saistītos datus glabāt 10 gadus no dienas, kad tam piešķirts de minimis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82.1.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informāciju par de minimis atbalstu, kas piešķirts saskaņā ar Komisijas regulu 2023/2831, glabā 10 gadus no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De minimis atbalstu nepiešķir regulas Nr.2023/2831 1.panta 1.punkta a), b), c) un d) apakšpunktā noteiktajām nozarēm un regulas Nr.2023/2831 1.panta 1.punkta e) un f) apakšpunktā noteiktajām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kuros gadījumos Komisijas 2023. gada 13. decembra Regula (ES) 2023/2831 par Līguma par Eiropas Savienības darbību 107. un 108. panta piemērošanu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atbalstam nav piemērojama tās 1.panta 1.punktā minētajām nozarēm un kuros gadījumos tajā minētajām darbībām, aicinām noteikumu projekta 83.punktu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atbalstu saskaņā ar Komisijas regulu Nr.2023/2831, piešķir, ievērojot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De minimis atbalstu saskaņā ar Komisijas regulu Nr.2023/2831, piešķir, ievērojot Komisijas regulas Nr.2023/2831 1.panta 1.punktā minētos nozaru un darbību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Sabiedrība "Altum" pieņem lēmumus par aizdevuma vai garantijas piešķiršanu līdz brīdim, kamēr pieejams šo noteikumu 8. punktā noteiktais Atveseļošanas fonda finansējums, bet ne vēlāk kā līdz 2025. gada 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89. punktā (projekta 21. punkts) vārdus "aizdevuma vai garantijas" nav nepieciešams aizstāt ar terminu "atbalsts" (sk. noteikumu 2.1. apakšpunktu). Attiecīgi aicinām izvērtēt un precizēt punktu. Alternatīvi lūdzam anotācijā skaidrot, kādēļ norma attiecināta tikai uz lēmumiem par aizdevuma vai garantijas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projekta 19. punktu attiecībā uz termina "uzņēmums" lietošanu. Norādām, ka saskaņā ar Komerclikuma 18. pantu termins „uzņēmums” apzīmē organizatoriski saimniecisku vienību un nevis komercdarbības vai saimnieciskās darbības subjektu. Attiecīgi lūdzam izvērtēt un, ja nepieciešams, precizēt projekta 19. punktu, termina „uzņēmums” vietā izmantojot terminu „saimnieciskās darbības veicējs” (sk., piemēram, noteikumu 52.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85 un 89.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Sabiedrība "Altum" pieņem lēmumus par atbalsta piešķiršanu līdz brīdim, kamēr pieejams šo noteikumu 8. punktā noteiktais Atveseļošanas fonda finansējums, bet ne vēlāk kā līdz 2025. gada 1. martam.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24-TA-473</w:t>
    </w:r>
    <w:r>
      <w:br/>
    </w:r>
    <w:r w:rsidR="00000000" w:rsidRPr="00000000" w:rsidDel="00000000">
      <w:rPr>
        <w:rtl w:val="0"/>
      </w:rPr>
      <w:t xml:space="preserve">21.05.2024. 08.22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24-TA-473</w:t>
    </w:r>
    <w:r>
      <w:br/>
    </w:r>
    <w:r w:rsidR="00000000" w:rsidRPr="00000000" w:rsidDel="00000000">
      <w:rPr>
        <w:rtl w:val="0"/>
      </w:rPr>
      <w:t xml:space="preserve">21.05.2024. 08.22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Izziņa_24-TA-473.docx</dc:title>
</cp:coreProperties>
</file>

<file path=docProps/custom.xml><?xml version="1.0" encoding="utf-8"?>
<Properties xmlns="http://schemas.openxmlformats.org/officeDocument/2006/custom-properties" xmlns:vt="http://schemas.openxmlformats.org/officeDocument/2006/docPropsVTypes"/>
</file>