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(12.07.2023.)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Nr. 418 16.5. apakšpunktam un 50. punktam projektu īstenošanas termiņš ir 2026. gada 30. jūnijs. Attiecīgi lūdzam noteikumu projekta anotācijā skaidrot pamatojumu noteikumu projekta regulējumam, kas paredz, ka projekta ietvaros izmaksas iespējams attiecināt līdz 2027. gada 31. decembrim (t.i., vairāk nekā gadu pēc projektu īstenošanas), nepieciešamības gadījumā noteikumu projektā precizējot projekta īstenošanas vai izmaksu attiecināmības termiņu. Anotācijā lūdzam arī sniegt pamatojumu, kā, nosakot izmaksu attiecināmības termiņu - 2027. gada 31. decembris -, paredzēts ievērot Eiropas Parlamenta un Padomes 2021. gada 12. februāra Regulas (ES) 2021/241, ar ko izveido Atveseļošanas un noturības mehānismu nodrošināt Atveseļošanas un noturības mehānisma investīciju īstenošanu, 18. panta 4. punkta "i" apakšpunktā noteikto investīciju īstenošanas un to rādītāju sasniegšanas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neradot pretrunas tiesiskajā regulējumā. Vienlaikus, noteikumu projekta anotācija papildināta šādā redakcijā: "Padomes 2021.gada 6.jūlija lēmumam par Latvijas Atveseļošanas un noturības mehānisma plāna izvērtējuma apstiprināšanu mērķrādītājs nr.158 - Finansējuma saistības - paredz apstiprināt saistības jeb noslēgt līgumus ar CFLA, attiecīgi finansējuma saņēmējam līdz 2026. gada 30. jūnijam jāapstiprina saistības par vismaz 22,5 milj. </w:t>
            </w:r>
            <w:r w:rsidR="00000000" w:rsidRPr="00000000" w:rsidDel="00000000">
              <w:rPr>
                <w:i w:val="1"/>
                <w:rtl w:val="0"/>
              </w:rPr>
              <w:t xml:space="preserve">euro </w:t>
            </w:r>
            <w:r w:rsidR="00000000" w:rsidRPr="00000000" w:rsidDel="00000000">
              <w:rPr>
                <w:rtl w:val="0"/>
              </w:rPr>
              <w:t xml:space="preserve">(Noteikumu nr.418 6.1. apakšpunkts). Ja ir sasniegti Noteikumu Nr.418 6. punkta rādītāji, tad investīcijas ietvaros izmaksas iespējams attiecināt līdz 2027.gada 31.decembrim. Ja finansējuma saņēmējam un sadarbības partnerim izmaksas rodas pēc 2027.gada 31.decembra, tad izmaksas tiek segtas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ar noteikumu projektu tiek precizēts noteikumu Nr. 418 54.1.15. apakšpunkts, nosakot ka kompetences centrs var sniegt priekšlikumus viedās specializācijas ilgtermiņa stratēģijas pilnveidošanā un darbības plāna precizēšanā, </w:t>
            </w:r>
            <w:r w:rsidR="00000000" w:rsidRPr="00000000" w:rsidDel="00000000">
              <w:rPr>
                <w:u w:val="single"/>
                <w:rtl w:val="0"/>
              </w:rPr>
              <w:t xml:space="preserve">taču tas nav obligāti</w:t>
            </w:r>
            <w:r w:rsidR="00000000" w:rsidRPr="00000000" w:rsidDel="00000000">
              <w:rPr>
                <w:rtl w:val="0"/>
              </w:rPr>
              <w:t xml:space="preserve">. Saistībā ar minēto vēršam uzmanību, ka noteikumu Nr. 418 54.1. apakšpunktā tiek uzskaitīti kompetences centra pienākumi, nevis tiesības, turklāt arī no noteikumu Nr. 418 54.1.15. apakšpunkta formulējuma izriet, ka priekšlikumu sniegšana ir obligāta, tādēļ lūdzam izvērtēt un svītrot vai precizēt noteikumu projekta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dzēšot vārdus "taču, tas nav obligāti".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ieviestas Eiropas Savienības regulu prasības, pamatojoties uz Ministru kabineta 2021. gada 7. septembra noteikumu Nr. 617 "Tiesību akta projekta sākotnējās ietekmes izvērtēšanas kārtība" 9.19. apakšpunktu, lūdzam aizpildīt noteikumu projekta anotācijas 5. sadaļu (jo īpaši 5.4. sadaļas 1. tabulu) ar informāciju par konkrēto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5. jaunradīto darba vietu atalgojuma apmērs projekta ietvaros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projekta 6.</w:t>
            </w:r>
            <w:r w:rsidR="00000000" w:rsidRPr="00000000" w:rsidDel="00000000">
              <w:rPr>
                <w:vertAlign w:val="superscript"/>
                <w:rtl w:val="0"/>
              </w:rPr>
              <w:t xml:space="preserve">1</w:t>
            </w:r>
            <w:r w:rsidR="00000000" w:rsidRPr="00000000" w:rsidDel="00000000">
              <w:rPr>
                <w:rtl w:val="0"/>
              </w:rPr>
              <w:t xml:space="preserve">5. punktu, jo tas ir neatbilstošs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6.</w:t>
            </w:r>
            <w:r w:rsidR="00000000" w:rsidRPr="00000000" w:rsidDel="00000000">
              <w:rPr>
                <w:vertAlign w:val="superscript"/>
                <w:rtl w:val="0"/>
              </w:rPr>
              <w:t xml:space="preserve">1</w:t>
            </w:r>
            <w:r w:rsidR="00000000" w:rsidRPr="00000000" w:rsidDel="00000000">
              <w:rPr>
                <w:rtl w:val="0"/>
              </w:rPr>
              <w:t xml:space="preserve">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viens no atbalsta programmas plānotajiem rezultātiem ir jaunradītas darba vietas, par ko dati uzkrājami noteikumu projekta 6.</w:t>
            </w:r>
            <w:r w:rsidR="00000000" w:rsidRPr="00000000" w:rsidDel="00000000">
              <w:rPr>
                <w:vertAlign w:val="superscript"/>
                <w:rtl w:val="0"/>
              </w:rPr>
              <w:t xml:space="preserve">1</w:t>
            </w:r>
            <w:r w:rsidR="00000000" w:rsidRPr="00000000" w:rsidDel="00000000">
              <w:rPr>
                <w:rtl w:val="0"/>
              </w:rPr>
              <w:t xml:space="preserve">4. apakšpunkta ietvaros. Savukārt, noteikumu projekta 6.</w:t>
            </w:r>
            <w:r w:rsidR="00000000" w:rsidRPr="00000000" w:rsidDel="00000000">
              <w:rPr>
                <w:vertAlign w:val="superscript"/>
                <w:rtl w:val="0"/>
              </w:rPr>
              <w:t xml:space="preserve">1</w:t>
            </w:r>
            <w:r w:rsidR="00000000" w:rsidRPr="00000000" w:rsidDel="00000000">
              <w:rPr>
                <w:rtl w:val="0"/>
              </w:rPr>
              <w:t xml:space="preserve">5. apakšpunktā uzkrājamie dati nodrošina pilnvērtīgu RIS3 datu uzkrāšanu un nodrošinātu datu pieejamību monitoringa veikšanai.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5.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4. </w:t>
            </w:r>
            <w:r w:rsidR="00000000" w:rsidRPr="00000000" w:rsidDel="00000000">
              <w:rPr>
                <w:rtl w:val="0"/>
              </w:rPr>
              <w:t xml:space="preserve">apakšpunkta</w:t>
            </w:r>
            <w:r w:rsidR="00000000" w:rsidRPr="00000000" w:rsidDel="00000000">
              <w:rPr>
                <w:rtl w:val="0"/>
              </w:rPr>
              <w:t xml:space="preserve"> P&amp;A personāla izglītība (skaits):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5. jaunradīto darba vietu atalgojuma apmērs projekta ietvaros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punktu dzēst, jo tas ir neatbilstošs Ministru kabineta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viens no atbalsta programmas plānotajiem rezultātiem ir jaunradītas darba vietas, par ko dati uzkrājami noteikumu projekta 6.</w:t>
            </w:r>
            <w:r w:rsidR="00000000" w:rsidRPr="00000000" w:rsidDel="00000000">
              <w:rPr>
                <w:vertAlign w:val="superscript"/>
                <w:rtl w:val="0"/>
              </w:rPr>
              <w:t xml:space="preserve">1</w:t>
            </w:r>
            <w:r w:rsidR="00000000" w:rsidRPr="00000000" w:rsidDel="00000000">
              <w:rPr>
                <w:rtl w:val="0"/>
              </w:rPr>
              <w:t xml:space="preserve">4. apakšpunkta ietvaros. Savukārt, noteikumu projekta 6.</w:t>
            </w:r>
            <w:r w:rsidR="00000000" w:rsidRPr="00000000" w:rsidDel="00000000">
              <w:rPr>
                <w:vertAlign w:val="superscript"/>
                <w:rtl w:val="0"/>
              </w:rPr>
              <w:t xml:space="preserve">1</w:t>
            </w:r>
            <w:r w:rsidR="00000000" w:rsidRPr="00000000" w:rsidDel="00000000">
              <w:rPr>
                <w:rtl w:val="0"/>
              </w:rPr>
              <w:t xml:space="preserve">5. apakšpunktā uzkrājamie dati nodrošina pilnvērtīgu RIS3 datu uzkrāšanu un nodrošinātu datu pieejamību monitoringa veikšanai.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5.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4. </w:t>
            </w:r>
            <w:r w:rsidR="00000000" w:rsidRPr="00000000" w:rsidDel="00000000">
              <w:rPr>
                <w:rtl w:val="0"/>
              </w:rPr>
              <w:t xml:space="preserve">apakšpunkta</w:t>
            </w:r>
            <w:r w:rsidR="00000000" w:rsidRPr="00000000" w:rsidDel="00000000">
              <w:rPr>
                <w:rtl w:val="0"/>
              </w:rPr>
              <w:t xml:space="preserve"> P&amp;A personāla izglītība (skaits):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6. komersantu papildu ieguldījumi (</w:t>
            </w:r>
            <w:r w:rsidR="00000000" w:rsidRPr="00000000" w:rsidDel="00000000">
              <w:rPr>
                <w:i w:val="1"/>
                <w:rtl w:val="0"/>
              </w:rPr>
              <w:t xml:space="preserve">euro</w:t>
            </w:r>
            <w:r w:rsidR="00000000" w:rsidRPr="00000000" w:rsidDel="00000000">
              <w:rPr>
                <w:rtl w:val="0"/>
              </w:rPr>
              <w:t xml:space="preserve">) pētniecībā un attīstībā ārpus pētniecības projekta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projekta 6.</w:t>
            </w:r>
            <w:r w:rsidR="00000000" w:rsidRPr="00000000" w:rsidDel="00000000">
              <w:rPr>
                <w:vertAlign w:val="superscript"/>
                <w:rtl w:val="0"/>
              </w:rPr>
              <w:t xml:space="preserve">1</w:t>
            </w:r>
            <w:r w:rsidR="00000000" w:rsidRPr="00000000" w:rsidDel="00000000">
              <w:rPr>
                <w:rtl w:val="0"/>
              </w:rPr>
              <w:t xml:space="preserve">6. punktu, jo tas dublē 6.</w:t>
            </w:r>
            <w:r w:rsidR="00000000" w:rsidRPr="00000000" w:rsidDel="00000000">
              <w:rPr>
                <w:vertAlign w:val="superscript"/>
                <w:rtl w:val="0"/>
              </w:rPr>
              <w:t xml:space="preserve">1</w:t>
            </w:r>
            <w:r w:rsidR="00000000" w:rsidRPr="00000000" w:rsidDel="00000000">
              <w:rPr>
                <w:rtl w:val="0"/>
              </w:rPr>
              <w:t xml:space="preserve">1.2.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projekta 6.</w:t>
            </w:r>
            <w:r w:rsidR="00000000" w:rsidRPr="00000000" w:rsidDel="00000000">
              <w:rPr>
                <w:vertAlign w:val="superscript"/>
                <w:rtl w:val="0"/>
              </w:rPr>
              <w:t xml:space="preserve">1</w:t>
            </w:r>
            <w:r w:rsidR="00000000" w:rsidRPr="00000000" w:rsidDel="00000000">
              <w:rPr>
                <w:rtl w:val="0"/>
              </w:rPr>
              <w:t xml:space="preserve">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6. komersantu papildu ieguldījumi (</w:t>
            </w:r>
            <w:r w:rsidR="00000000" w:rsidRPr="00000000" w:rsidDel="00000000">
              <w:rPr>
                <w:i w:val="1"/>
                <w:rtl w:val="0"/>
              </w:rPr>
              <w:t xml:space="preserve">euro</w:t>
            </w:r>
            <w:r w:rsidR="00000000" w:rsidRPr="00000000" w:rsidDel="00000000">
              <w:rPr>
                <w:rtl w:val="0"/>
              </w:rPr>
              <w:t xml:space="preserve">) pētniecībā un attīstībā ārpus pētniecības projekta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punktu dzēst, jo tas dublē 6.</w:t>
            </w:r>
            <w:r w:rsidR="00000000" w:rsidRPr="00000000" w:rsidDel="00000000">
              <w:rPr>
                <w:vertAlign w:val="superscript"/>
                <w:rtl w:val="0"/>
              </w:rPr>
              <w:t xml:space="preserve">1</w:t>
            </w:r>
            <w:r w:rsidR="00000000" w:rsidRPr="00000000" w:rsidDel="00000000">
              <w:rPr>
                <w:rtl w:val="0"/>
              </w:rPr>
              <w:t xml:space="preserve">1.2.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7. piesaistītais ārvalstu finansējums (</w:t>
            </w:r>
            <w:r w:rsidR="00000000" w:rsidRPr="00000000" w:rsidDel="00000000">
              <w:rPr>
                <w:i w:val="1"/>
                <w:rtl w:val="0"/>
              </w:rPr>
              <w:t xml:space="preserve">euro</w:t>
            </w:r>
            <w:r w:rsidR="00000000" w:rsidRPr="00000000" w:rsidDel="00000000">
              <w:rPr>
                <w:rtl w:val="0"/>
              </w:rPr>
              <w:t xml:space="preserve">) (no starptautiskajām pētniecības programmām vai ārvalstu partneriem) pētniecībai uzņēmējdarbības sektorā;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projekta 6.</w:t>
            </w:r>
            <w:r w:rsidR="00000000" w:rsidRPr="00000000" w:rsidDel="00000000">
              <w:rPr>
                <w:vertAlign w:val="superscript"/>
                <w:rtl w:val="0"/>
              </w:rPr>
              <w:t xml:space="preserve">1</w:t>
            </w:r>
            <w:r w:rsidR="00000000" w:rsidRPr="00000000" w:rsidDel="00000000">
              <w:rPr>
                <w:rtl w:val="0"/>
              </w:rPr>
              <w:t xml:space="preserve">7. punktu. Skaidrojam, ka kompetences centru ietvaros var uzkrāt datus tikai par konkrētiem pētniecības projektu īstenotājiem, nevis visu uzņēmējdarbības sektoru.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projekta 6.</w:t>
            </w:r>
            <w:r w:rsidR="00000000" w:rsidRPr="00000000" w:rsidDel="00000000">
              <w:rPr>
                <w:vertAlign w:val="superscript"/>
                <w:rtl w:val="0"/>
              </w:rPr>
              <w:t xml:space="preserve">1</w:t>
            </w:r>
            <w:r w:rsidR="00000000" w:rsidRPr="00000000" w:rsidDel="00000000">
              <w:rPr>
                <w:rtl w:val="0"/>
              </w:rPr>
              <w:t xml:space="preserve">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nosakot, ka dati jāuzkrāj par projektu ietvaros veikto pētniecību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6. piesaistītais ārvalstu finansējums (</w:t>
            </w:r>
            <w:r w:rsidR="00000000" w:rsidRPr="00000000" w:rsidDel="00000000">
              <w:rPr>
                <w:i w:val="1"/>
                <w:rtl w:val="0"/>
              </w:rPr>
              <w:t xml:space="preserve">euro</w:t>
            </w:r>
            <w:r w:rsidR="00000000" w:rsidRPr="00000000" w:rsidDel="00000000">
              <w:rPr>
                <w:rtl w:val="0"/>
              </w:rPr>
              <w:t xml:space="preserve">) (no starptautiskām pētniecības programmām vai no ārvalstu partneriem) pētniecībai uzņēmumā;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7. piesaistītais ārvalstu finansējums (</w:t>
            </w:r>
            <w:r w:rsidR="00000000" w:rsidRPr="00000000" w:rsidDel="00000000">
              <w:rPr>
                <w:i w:val="1"/>
                <w:rtl w:val="0"/>
              </w:rPr>
              <w:t xml:space="preserve">euro</w:t>
            </w:r>
            <w:r w:rsidR="00000000" w:rsidRPr="00000000" w:rsidDel="00000000">
              <w:rPr>
                <w:rtl w:val="0"/>
              </w:rPr>
              <w:t xml:space="preserve">) (no starptautiskajām pētniecības programmām vai ārvalstu partneriem) pētniecībai uzņēmējdarbības sektorā;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6.</w:t>
            </w:r>
            <w:r w:rsidR="00000000" w:rsidRPr="00000000" w:rsidDel="00000000">
              <w:rPr>
                <w:vertAlign w:val="superscript"/>
                <w:rtl w:val="0"/>
              </w:rPr>
              <w:t xml:space="preserve">1</w:t>
            </w:r>
            <w:r w:rsidR="00000000" w:rsidRPr="00000000" w:rsidDel="00000000">
              <w:rPr>
                <w:rtl w:val="0"/>
              </w:rPr>
              <w:t xml:space="preserve">7. punktu, jo kompetences centru ietvaros var uzkrāt datus tikai par konkrētiem pētniecības projektu īstenotājiem, nevis visu uzņēmējdarbības sektoru.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nosakot, ka dati jāuzkrāj par projektu ietvaros veikto pētniecību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6. piesaistītais ārvalstu finansējums (</w:t>
            </w:r>
            <w:r w:rsidR="00000000" w:rsidRPr="00000000" w:rsidDel="00000000">
              <w:rPr>
                <w:i w:val="1"/>
                <w:rtl w:val="0"/>
              </w:rPr>
              <w:t xml:space="preserve">euro</w:t>
            </w:r>
            <w:r w:rsidR="00000000" w:rsidRPr="00000000" w:rsidDel="00000000">
              <w:rPr>
                <w:rtl w:val="0"/>
              </w:rPr>
              <w:t xml:space="preserve">) (no starptautiskām pētniecības programmām vai no ārvalstu partneriem) pētniecībai uzņēmumā;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 zinātniskais personāls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projekta 6.</w:t>
            </w:r>
            <w:r w:rsidR="00000000" w:rsidRPr="00000000" w:rsidDel="00000000">
              <w:rPr>
                <w:vertAlign w:val="superscript"/>
                <w:rtl w:val="0"/>
              </w:rPr>
              <w:t xml:space="preserve">1</w:t>
            </w:r>
            <w:r w:rsidR="00000000" w:rsidRPr="00000000" w:rsidDel="00000000">
              <w:rPr>
                <w:rtl w:val="0"/>
              </w:rPr>
              <w:t xml:space="preserve">10. punktu un 6.</w:t>
            </w:r>
            <w:r w:rsidR="00000000" w:rsidRPr="00000000" w:rsidDel="00000000">
              <w:rPr>
                <w:vertAlign w:val="superscript"/>
                <w:rtl w:val="0"/>
              </w:rPr>
              <w:t xml:space="preserve">1</w:t>
            </w:r>
            <w:r w:rsidR="00000000" w:rsidRPr="00000000" w:rsidDel="00000000">
              <w:rPr>
                <w:rtl w:val="0"/>
              </w:rPr>
              <w:t xml:space="preserve">10.1. punktu. Skaidrojam, ka, lai ieviestu procedūras tik detalizētas un specifiskas informācijas pieprasīšanai, kontrolei un uzkrāšanai, tas ir jādara no programmas īstenošanas uzsākšanas brīža, nevis tad, kad daļa pētniecības projektu jau ir noslēgusies.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projekta 6.</w:t>
            </w:r>
            <w:r w:rsidR="00000000" w:rsidRPr="00000000" w:rsidDel="00000000">
              <w:rPr>
                <w:vertAlign w:val="superscript"/>
                <w:rtl w:val="0"/>
              </w:rPr>
              <w:t xml:space="preserve">1</w:t>
            </w:r>
            <w:r w:rsidR="00000000" w:rsidRPr="00000000" w:rsidDel="00000000">
              <w:rPr>
                <w:rtl w:val="0"/>
              </w:rPr>
              <w:t xml:space="preserve">10. punktu un 6.</w:t>
            </w:r>
            <w:r w:rsidR="00000000" w:rsidRPr="00000000" w:rsidDel="00000000">
              <w:rPr>
                <w:vertAlign w:val="superscript"/>
                <w:rtl w:val="0"/>
              </w:rPr>
              <w:t xml:space="preserve">1</w:t>
            </w:r>
            <w:r w:rsidR="00000000" w:rsidRPr="00000000" w:rsidDel="00000000">
              <w:rPr>
                <w:rtl w:val="0"/>
              </w:rPr>
              <w:t xml:space="preserve">10.1.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dzēsts 6.</w:t>
            </w:r>
            <w:r w:rsidR="00000000" w:rsidRPr="00000000" w:rsidDel="00000000">
              <w:rPr>
                <w:vertAlign w:val="superscript"/>
                <w:rtl w:val="0"/>
              </w:rPr>
              <w:t xml:space="preserve">1</w:t>
            </w:r>
            <w:r w:rsidR="00000000" w:rsidRPr="00000000" w:rsidDel="00000000">
              <w:rPr>
                <w:rtl w:val="0"/>
              </w:rPr>
              <w:t xml:space="preserve">10. apakšpunkta apakšuzskaitījums. Kompetences centram jāuzkrāj dati par pētniecības projektos iesaistīto maģistrantu, doktorantu un doktoru skaitu, tādējādi atvieglojot informācijas pieprasīšanu un uzkrāšanu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 zinātniskais personāls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šim punktam, jo, lai ieviestu procedūras tik detalizētas un specifiskas informācijas pieprasīšanai, kontrolei un uzkrāšanai, tas ir jādara no programmas īstenošanas uzsākšanas brīža, nevis tad, kad daļa pētniecības projektu jau ir noslēgusies. Skat. zemāk atsevišķus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10.1.1. zinātniskais personāls – jaunie zinātnieki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paustajam iebildumam, LDDK piedāvā šādu “6.</w:t>
            </w:r>
            <w:r w:rsidR="00000000" w:rsidRPr="00000000" w:rsidDel="00000000">
              <w:rPr>
                <w:vertAlign w:val="superscript"/>
                <w:rtl w:val="0"/>
              </w:rPr>
              <w:t xml:space="preserve">1</w:t>
            </w:r>
            <w:r w:rsidR="00000000" w:rsidRPr="00000000" w:rsidDel="00000000">
              <w:rPr>
                <w:rtl w:val="0"/>
              </w:rPr>
              <w:t xml:space="preserve">10.1.1. punkta redakciju "zinātniskais personāls – doktori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10.1.1. zinātniskais personāls – doktori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10.1.1. zinātniskais personāls – jaunie zinātnieki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6.</w:t>
            </w:r>
            <w:r w:rsidR="00000000" w:rsidRPr="00000000" w:rsidDel="00000000">
              <w:rPr>
                <w:vertAlign w:val="superscript"/>
                <w:rtl w:val="0"/>
              </w:rPr>
              <w:t xml:space="preserve">1</w:t>
            </w:r>
            <w:r w:rsidR="00000000" w:rsidRPr="00000000" w:rsidDel="00000000">
              <w:rPr>
                <w:rtl w:val="0"/>
              </w:rPr>
              <w:t xml:space="preserve">10.1.1. punktu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10.1.1. zinātniskais personāls – doktori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10.1.2. zinātniskais personāls – maģistranti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paustajam iebildumam, LDDK piedāvā svītrot noteikumu grozījumu projekta 6.</w:t>
            </w:r>
            <w:r w:rsidR="00000000" w:rsidRPr="00000000" w:rsidDel="00000000">
              <w:rPr>
                <w:vertAlign w:val="superscript"/>
                <w:rtl w:val="0"/>
              </w:rPr>
              <w:t xml:space="preserve">1</w:t>
            </w:r>
            <w:r w:rsidR="00000000" w:rsidRPr="00000000" w:rsidDel="00000000">
              <w:rPr>
                <w:rtl w:val="0"/>
              </w:rPr>
              <w:t xml:space="preserve">10.1.2.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projekta 6.</w:t>
            </w:r>
            <w:r w:rsidR="00000000" w:rsidRPr="00000000" w:rsidDel="00000000">
              <w:rPr>
                <w:vertAlign w:val="superscript"/>
                <w:rtl w:val="0"/>
              </w:rPr>
              <w:t xml:space="preserve">1</w:t>
            </w:r>
            <w:r w:rsidR="00000000" w:rsidRPr="00000000" w:rsidDel="00000000">
              <w:rPr>
                <w:rtl w:val="0"/>
              </w:rPr>
              <w:t xml:space="preserve">10.1.2.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10.1.2. zinātniskais personāls – maģistranti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10.2. zinātniskais personāls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10.2. zinātniskais personāls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punktus, jo tie ir neatbilstoši Ministru kabineta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10.2.1. zinātniskais personāls – jaunie zinātnieki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b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10.2.2. zinātniskais personāls – maģistranti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10.2.3. zinātniskais personāls – doktoranti un doktora grāda pretendenti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10.3. zinātnes tehniskais personāls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10.3.1. zinātnes tehniskais personāls – jaunie zinātnieki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10.3.2. zinātnes tehniskais personāls – maģistranti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10.3.3. zinātnes tehniskais personāls – doktoranti un doktora grāda pretendenti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10.4. zinātnes tehniskais personāls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10.4.1. zinātnes tehniskais personāls – jaunie zinātnieki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10.4.2. zinātnes tehniskais personāls – maģistranti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10.4.3. zinātnes tehniskais personāls – doktoranti un doktora grāda pretendenti (pilna laika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 Skaidrojam, ka tie ir neatbilstoši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punktus 6.</w:t>
            </w:r>
            <w:r w:rsidR="00000000" w:rsidRPr="00000000" w:rsidDel="00000000">
              <w:rPr>
                <w:vertAlign w:val="superscript"/>
                <w:rtl w:val="0"/>
              </w:rPr>
              <w:t xml:space="preserve">1</w:t>
            </w:r>
            <w:r w:rsidR="00000000" w:rsidRPr="00000000" w:rsidDel="00000000">
              <w:rPr>
                <w:rtl w:val="0"/>
              </w:rPr>
              <w:t xml:space="preserve">10.2. līdz 6.</w:t>
            </w:r>
            <w:r w:rsidR="00000000" w:rsidRPr="00000000" w:rsidDel="00000000">
              <w:rPr>
                <w:vertAlign w:val="superscript"/>
                <w:rtl w:val="0"/>
              </w:rPr>
              <w:t xml:space="preserve">1</w:t>
            </w:r>
            <w:r w:rsidR="00000000" w:rsidRPr="00000000" w:rsidDel="00000000">
              <w:rPr>
                <w:rtl w:val="0"/>
              </w:rPr>
              <w:t xml:space="preserve">10.4.3..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12. projekta ietvaros jaunradīto produktu, pakalpojumu vai tehnoloģiju neto apgrozījums (</w:t>
            </w:r>
            <w:r w:rsidR="00000000" w:rsidRPr="00000000" w:rsidDel="00000000">
              <w:rPr>
                <w:i w:val="1"/>
                <w:rtl w:val="0"/>
              </w:rPr>
              <w:t xml:space="preserve">euro</w:t>
            </w:r>
            <w:r w:rsidR="00000000" w:rsidRPr="00000000" w:rsidDel="00000000">
              <w:rPr>
                <w:rtl w:val="0"/>
              </w:rPr>
              <w:t xml:space="preserve">) salīdzinājumā ar pirmo projekta īstenošanas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projekta 6.</w:t>
            </w:r>
            <w:r w:rsidR="00000000" w:rsidRPr="00000000" w:rsidDel="00000000">
              <w:rPr>
                <w:vertAlign w:val="superscript"/>
                <w:rtl w:val="0"/>
              </w:rPr>
              <w:t xml:space="preserve">1</w:t>
            </w:r>
            <w:r w:rsidR="00000000" w:rsidRPr="00000000" w:rsidDel="00000000">
              <w:rPr>
                <w:rtl w:val="0"/>
              </w:rPr>
              <w:t xml:space="preserve">12 punktu, jo tas dublē 6.</w:t>
            </w:r>
            <w:r w:rsidR="00000000" w:rsidRPr="00000000" w:rsidDel="00000000">
              <w:rPr>
                <w:vertAlign w:val="superscript"/>
                <w:rtl w:val="0"/>
              </w:rPr>
              <w:t xml:space="preserve">1</w:t>
            </w:r>
            <w:r w:rsidR="00000000" w:rsidRPr="00000000" w:rsidDel="00000000">
              <w:rPr>
                <w:rtl w:val="0"/>
              </w:rPr>
              <w:t xml:space="preserve">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projekta 6.</w:t>
            </w:r>
            <w:r w:rsidR="00000000" w:rsidRPr="00000000" w:rsidDel="00000000">
              <w:rPr>
                <w:vertAlign w:val="superscript"/>
                <w:rtl w:val="0"/>
              </w:rPr>
              <w:t xml:space="preserve">1</w:t>
            </w:r>
            <w:r w:rsidR="00000000" w:rsidRPr="00000000" w:rsidDel="00000000">
              <w:rPr>
                <w:rtl w:val="0"/>
              </w:rPr>
              <w:t xml:space="preserve">12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w:t>
            </w:r>
            <w:r w:rsidR="00000000" w:rsidRPr="00000000" w:rsidDel="00000000">
              <w:rPr>
                <w:vertAlign w:val="superscript"/>
                <w:rtl w:val="0"/>
              </w:rPr>
              <w:t xml:space="preserve">1</w:t>
            </w:r>
            <w:r w:rsidR="00000000" w:rsidRPr="00000000" w:rsidDel="00000000">
              <w:rPr>
                <w:rtl w:val="0"/>
              </w:rPr>
              <w:t xml:space="preserve">9 apakšpunkts dzēsts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 darbaspēka izmaksas (P&amp;A izdevumu apjoms,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12. projekta ietvaros jaunradīto produktu, pakalpojumu vai tehnoloģiju neto apgrozījums (</w:t>
            </w:r>
            <w:r w:rsidR="00000000" w:rsidRPr="00000000" w:rsidDel="00000000">
              <w:rPr>
                <w:i w:val="1"/>
                <w:rtl w:val="0"/>
              </w:rPr>
              <w:t xml:space="preserve">euro</w:t>
            </w:r>
            <w:r w:rsidR="00000000" w:rsidRPr="00000000" w:rsidDel="00000000">
              <w:rPr>
                <w:rtl w:val="0"/>
              </w:rPr>
              <w:t xml:space="preserve">) salīdzinājumā ar pirmo projekta īstenošanas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6.</w:t>
            </w:r>
            <w:r w:rsidR="00000000" w:rsidRPr="00000000" w:rsidDel="00000000">
              <w:rPr>
                <w:vertAlign w:val="superscript"/>
                <w:rtl w:val="0"/>
              </w:rPr>
              <w:t xml:space="preserve">1</w:t>
            </w:r>
            <w:r w:rsidR="00000000" w:rsidRPr="00000000" w:rsidDel="00000000">
              <w:rPr>
                <w:rtl w:val="0"/>
              </w:rPr>
              <w:t xml:space="preserve">12.punktu, jo tas dublē 6.</w:t>
            </w:r>
            <w:r w:rsidR="00000000" w:rsidRPr="00000000" w:rsidDel="00000000">
              <w:rPr>
                <w:vertAlign w:val="superscript"/>
                <w:rtl w:val="0"/>
              </w:rPr>
              <w:t xml:space="preserve">1</w:t>
            </w:r>
            <w:r w:rsidR="00000000" w:rsidRPr="00000000" w:rsidDel="00000000">
              <w:rPr>
                <w:rtl w:val="0"/>
              </w:rPr>
              <w:t xml:space="preserve">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w:t>
            </w:r>
            <w:r w:rsidR="00000000" w:rsidRPr="00000000" w:rsidDel="00000000">
              <w:rPr>
                <w:vertAlign w:val="superscript"/>
                <w:rtl w:val="0"/>
              </w:rPr>
              <w:t xml:space="preserve">1</w:t>
            </w:r>
            <w:r w:rsidR="00000000" w:rsidRPr="00000000" w:rsidDel="00000000">
              <w:rPr>
                <w:rtl w:val="0"/>
              </w:rPr>
              <w:t xml:space="preserve">9 apakšpunkts dzēsts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 darbaspēka izmaksas (P&amp;A izdevumu apjoms,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13. projekta ietvaros jaunradīto produktu, pakalpojumu vai tehnoloģiju eksports (</w:t>
            </w:r>
            <w:r w:rsidR="00000000" w:rsidRPr="00000000" w:rsidDel="00000000">
              <w:rPr>
                <w:i w:val="1"/>
                <w:rtl w:val="0"/>
              </w:rPr>
              <w:t xml:space="preserve">euro</w:t>
            </w:r>
            <w:r w:rsidR="00000000" w:rsidRPr="00000000" w:rsidDel="00000000">
              <w:rPr>
                <w:rtl w:val="0"/>
              </w:rPr>
              <w:t xml:space="preserve">) salīdzinājumā ar pirmo projekta īstenošanas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precizēt noteikumu grozījumu projekta 6.</w:t>
            </w:r>
            <w:r w:rsidR="00000000" w:rsidRPr="00000000" w:rsidDel="00000000">
              <w:rPr>
                <w:vertAlign w:val="superscript"/>
                <w:rtl w:val="0"/>
              </w:rPr>
              <w:t xml:space="preserve">1</w:t>
            </w:r>
            <w:r w:rsidR="00000000" w:rsidRPr="00000000" w:rsidDel="00000000">
              <w:rPr>
                <w:rtl w:val="0"/>
              </w:rPr>
              <w:t xml:space="preserve">13. punktu šādā redakcijā: "6.</w:t>
            </w:r>
            <w:r w:rsidR="00000000" w:rsidRPr="00000000" w:rsidDel="00000000">
              <w:rPr>
                <w:vertAlign w:val="superscript"/>
                <w:rtl w:val="0"/>
              </w:rPr>
              <w:t xml:space="preserve">1</w:t>
            </w:r>
            <w:r w:rsidR="00000000" w:rsidRPr="00000000" w:rsidDel="00000000">
              <w:rPr>
                <w:rtl w:val="0"/>
              </w:rPr>
              <w:t xml:space="preserve">13. komersanta eksports (euro) no pētniecības projekta rezultāta ieviešanas saimnieciskajā darbībā vai komercializēšanas;”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13. komersanta eksports (euro) no pētniecības projekta rezultāta ieviešanas saimnieciskajā darbībā vai komercializēšanas;”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saglabāts esošajā redakcijā. Skaidrojam, ka RIS3 dati tiek uzkrāti par projekta ietvaros veiktajām aktivitātēm, attiecīgi svarīgi nodrošināt datu uzkrāšanu par projekta ietvaros jaunradīto produktu un pakalpojumu eksportu, nevis konkrētā komersanta eksports, kur var tikt norādīti dati, kas nav saistīti ar projekta ietvaros veiktajām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11. jaunradītās tehnoloģijas (skaits);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13. projekta ietvaros jaunradīto produktu, pakalpojumu vai tehnoloģiju eksports (</w:t>
            </w:r>
            <w:r w:rsidR="00000000" w:rsidRPr="00000000" w:rsidDel="00000000">
              <w:rPr>
                <w:i w:val="1"/>
                <w:rtl w:val="0"/>
              </w:rPr>
              <w:t xml:space="preserve">euro</w:t>
            </w:r>
            <w:r w:rsidR="00000000" w:rsidRPr="00000000" w:rsidDel="00000000">
              <w:rPr>
                <w:rtl w:val="0"/>
              </w:rPr>
              <w:t xml:space="preserve">) salīdzinājumā ar pirmo projekta īstenošanas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6.</w:t>
            </w:r>
            <w:r w:rsidR="00000000" w:rsidRPr="00000000" w:rsidDel="00000000">
              <w:rPr>
                <w:vertAlign w:val="superscript"/>
                <w:rtl w:val="0"/>
              </w:rPr>
              <w:t xml:space="preserve">1</w:t>
            </w:r>
            <w:r w:rsidR="00000000" w:rsidRPr="00000000" w:rsidDel="00000000">
              <w:rPr>
                <w:rtl w:val="0"/>
              </w:rPr>
              <w:t xml:space="preserve">13. punktu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13. komersanta eksports (euro) no pētniecības projekta rezultāta ieviešanas saimnieciskajā darbībā vai komercializēšanas”;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saglabāts esošajā redakcijā. Skaidrojam, ka RIS3 dati tiek uzkrāti par projekta ietvaros veiktajām aktivitātēm, attiecīgi svarīgi nodrošināt datu uzkrāšanu par projekta ietvaros jaunradīto produktu un pakalpojumu eksportu, nevis konkrētā komersanta eksports, kur var tikt norādīti dati, kas nav saistīti ar projekta ietvaros veiktajām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11. jaunradītās tehnoloģijas (skaits);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15. kapitālizdevumi – ēkas, iekārtas, intelektuālā īpašuma tiesības, datoru programmatūra (pētniecības un attīstības izdevumu apjoms,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grozījumu punktu 6.</w:t>
            </w:r>
            <w:r w:rsidR="00000000" w:rsidRPr="00000000" w:rsidDel="00000000">
              <w:rPr>
                <w:vertAlign w:val="superscript"/>
                <w:rtl w:val="0"/>
              </w:rPr>
              <w:t xml:space="preserve">1</w:t>
            </w:r>
            <w:r w:rsidR="00000000" w:rsidRPr="00000000" w:rsidDel="00000000">
              <w:rPr>
                <w:rtl w:val="0"/>
              </w:rPr>
              <w:t xml:space="preserve">15. Skaidrojam, ka tas ir neatbilstošs MK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satura būtībai. Ēkas, iekārtas nav attiecināmas šajā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grozījumu punktu 6.</w:t>
            </w:r>
            <w:r w:rsidR="00000000" w:rsidRPr="00000000" w:rsidDel="00000000">
              <w:rPr>
                <w:vertAlign w:val="superscript"/>
                <w:rtl w:val="0"/>
              </w:rPr>
              <w:t xml:space="preserve">1</w:t>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15. kapitālizdevumi – ēkas, iekārtas, intelektuālā īpašuma tiesības, datoru programmatūra (pētniecības un attīstības izdevumu apjoms,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6.</w:t>
            </w:r>
            <w:r w:rsidR="00000000" w:rsidRPr="00000000" w:rsidDel="00000000">
              <w:rPr>
                <w:vertAlign w:val="superscript"/>
                <w:rtl w:val="0"/>
              </w:rPr>
              <w:t xml:space="preserve">1</w:t>
            </w:r>
            <w:r w:rsidR="00000000" w:rsidRPr="00000000" w:rsidDel="00000000">
              <w:rPr>
                <w:rtl w:val="0"/>
              </w:rPr>
              <w:t xml:space="preserve">15. punktu, jo ēkas un iekārtas nav attiecināmas šajā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1. darbībām, kas saistītas ar fosilo kurināmo, tostarp tā pakārtotu izmantošanu, izņemot projektiem elektroenerģijas vai siltuma ražošanā, kā arī saistīto pārvades un sadales infrastruktūru, izmantojot dabasgāzi, atbilstoši Eiropas Komisijas paziņojuma “Tehniskie norādījumi par principa “nenodarīt būtisku kaitējumu” piemērošanu saskaņā ar Atveseļošanas un noturības mehānisma regulu” (Eiropas Savienības Oficiālais Vēstnesis, 2021. gada 18. februāris, Nr. C 58/1) III pielikuma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131. punktu, lūdzam noteikumu projekta 6. punktā svītrot atsauci uz Eiropas Komisijas paziņojumu “Tehniskie norādījumi par principa “nenodarīt būtisku kaitējumu” piemērošanu saskaņā ar Atveseļošanas un noturības mehānisma regulu” (Eiropas Savienības Oficiālais Vēstnesis, 2021. gada 18. februāris, Nr. C 58/1), nepieciešamības gadījumā pārņemot minētā paziņojuma prasības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sniedzot pamatojumu, kādēļ noteikumu projekta iekļauta atsauce uz Tehniskie norādījumi par principa “nenodarīt būtisku kaitējumu” piemērošanu. Noteikumu projekta anotācija papildināta šādā redakcijā: "MK noteikumos iekļauta atsauce uz Eiropas Komisijas paziņojums Nr. 2021/C58/01, ņemot vērā Eiropas Komisijas 2024.gada 15.marta pieprasījumu, nodrošinot personu procesuālās tiesības un mazinot interpretācijas iespējas principa "nenodari būtisku kaitējumu" piemērošanā.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1. darbībām, kas saistītas ar fosilo kurināmo, tostarp tā pakārtotu izmantošanu, izņemot projektiem elektroenerģijas vai siltuma ražošanā, kā arī saistīto pārvades un sadales infrastruktūru, izmantojot dabasgāzi, atbilstoši Eiropas Komisijas paziņojuma “Tehniskie norādījumi par principa “nenodarīt būtisku kaitējumu” piemērošanu saskaņā ar Atveseļošanas un noturības mehānisma regulu” (Eiropas Savienības Oficiālais Vēstnesis, 2021. gada 18. februāris, Nr. C 58/1) III pielikuma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Investīcijas ietvaros izmaksas iespējams attiecināt līdz 2027. gada 31. decembrim. Ja kompetences centram un sadarbības partnerim izmaksas rodas pēc 2027. gada 31. decembra, tās tiek segtas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pagarināt izmaksu attiecināmības termiņu investīcijas ietvaros - ar finansējuma saņēmējiem līgumi par projektu īstenošanu ir slēgti 2022. gada beigās vai 2023. gada sākumā, tādēļ nav saprotams anotācijā norādītais pamatojums, ka izmaksu attiecināmības termiņa pagarinājums ir nepieciešams "ņemot vērā īso Atveseļošanas un noturības mehāniska investīcijas īstenošanas termiņu". Vēlamies skaidrot, ka investīcijas īstenošana norisinās atbilstoši plānotajam, un, ņemot vērā projektiem pieejamo īstenošanas termiņu līdz 2026. gada 30. jūnijam, šobrīd nav saskatāmi riski, ka investīcijas ietvaros finansējums netiks ieguldīts pilnā apmērā. Šobrīd, pagarinot izmaksu attiecināmības termiņu, saskatām risku nevajadzīgiem projektu termiņu pagarinājumiem, kas radīs papildu administratīvo slogu investīcijas uzraudzības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izvērtējusi Finanšu ministrijas izteikto komentāru un sniedz sekojošu skaidrojum. </w:t>
            </w:r>
            <w:r w:rsidR="00000000" w:rsidRPr="00000000" w:rsidDel="00000000">
              <w:rPr>
                <w:rtl w:val="0"/>
              </w:rPr>
              <w:t xml:space="preserve">Pēc KPVIS pieejamās informācijas secināms, ka projektu ieviešanas progress ir zemā līmenī, tādēļ nepieciešams izmaksu attiecināmības termiņa pagarinājums, lai nodrošinātu efektīvu projektu ieviešanu un vienādu pieeju visās pētniecības atbalsta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tiek sasniegti šo noteikumu </w:t>
            </w:r>
            <w:r w:rsidR="00000000" w:rsidRPr="00000000" w:rsidDel="00000000">
              <w:rPr>
                <w:rtl w:val="0"/>
              </w:rPr>
              <w:t xml:space="preserve">6. </w:t>
            </w:r>
            <w:r w:rsidR="00000000" w:rsidRPr="00000000" w:rsidDel="00000000">
              <w:rPr>
                <w:rtl w:val="0"/>
              </w:rPr>
              <w:t xml:space="preserve">punkta</w:t>
            </w:r>
            <w:r w:rsidR="00000000" w:rsidRPr="00000000" w:rsidDel="00000000">
              <w:rPr>
                <w:rtl w:val="0"/>
              </w:rPr>
              <w:t xml:space="preserve"> rādītāji, investīcijas ietvaros izmaksas iespējams attiecināt līdz 2027. gada 31. decembrim, nepieciešamības gadījumā veicot grozījumus līgumā par projekta īstenošanu. Ja kompetences centram un sadarbības partnerim izmaksas rodas pēc 2027. gada 31. decembra, tās tiek segtas no saviem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Nozares ministrija sagatavo izskatīšanai Ministru kabinetā ziņojumu par investīcijas īstenošanu, kas ietver informāciju par turpmāku investīcijas uzraudzību pēc 2026. gada 31. augusta, tai skaitā par finansējuma izlietojumu, sniedzot priekšlikumus par finansējuma pārvirzīšanu nozares ministrijas atbalsta pasākumiem Eiropas Savienības kohēzijas politikas programmas 2021.–2027. gadam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teikuma daļu "Eiropas Savienības kohēzijas politikas programmas 2021.–2027. gadam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Nozares ministrija sagatavo izskatīšanai Ministru kabinetā ziņojumu par investīcijas īstenošanu, kas ietver informāciju par turpmāku investīcijas uzraudzību pēc 2026. gada 31. augusta, tai skaitā par finansējuma izlietojumu, sniedzot priekšlikumus par finansējuma pārvirzīšanu nozares ministrijas atbalsta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Ja tiek pārkāptas šajos noteikumos noteiktās komercdarbības atbalsta kontroles normas, tostarp nosacījumi, kas izriet no Komisijas regulas Nr. </w:t>
            </w:r>
            <w:r w:rsidR="00000000" w:rsidRPr="00000000" w:rsidDel="00000000">
              <w:rPr>
                <w:rtl w:val="0"/>
              </w:rPr>
              <w:t xml:space="preserve">651/2014</w:t>
            </w:r>
            <w:r w:rsidR="00000000" w:rsidRPr="00000000" w:rsidDel="00000000">
              <w:rPr>
                <w:rtl w:val="0"/>
              </w:rPr>
              <w:t xml:space="preserve">, Atveseļošanas fonda finansējuma saņēmējam ir pienākums atmaksāt aģentūrai nelikumīgo projekta ietvaros piešķirto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 Procenti ir aprēķināmi no dienas, kad nelikumīgais atbalsts pirmo reizi nodots sadarbības partnerim, līdz tā atgūšanas dienai. Minētajā gadījumā finansējuma saņēmējam ir tiesības no sadarbības partnera saņemt kompensāciju atmaksātā nelikumīgā atbalsta  (kopā ar procentiem)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31. punkta otro teikumu, nedublējot (neskaidrojot) Komercdarbības atbalsta kontroles likuma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Ja attiecībā uz sadarbības partnerim piešķirto atbalstu tiek pārkāpti Komisijas regulas Nr. </w:t>
            </w:r>
            <w:r w:rsidR="00000000" w:rsidRPr="00000000" w:rsidDel="00000000">
              <w:rPr>
                <w:rtl w:val="0"/>
              </w:rPr>
              <w:t xml:space="preserve">651/2014</w:t>
            </w:r>
            <w:r w:rsidR="00000000" w:rsidRPr="00000000" w:rsidDel="00000000">
              <w:rPr>
                <w:rtl w:val="0"/>
              </w:rPr>
              <w:t xml:space="preserve"> nosacījumi, Atveseļošanas fonda finansējuma saņēmējam ir pienākums atmaksāt aģentūrai nelikumīgo projekta ietvaros piešķirto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 Finansējuma saņēmējam ir tiesības no sadarbības partnera saņemt kompensāciju atmaksātā nelikumīgā atbalsta (kopā ar procentiem)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1.3.sadaļā 4.punktā pievienot piebildi, ka izmaksu attiecināšanas termiņa pagarinājuma gadījumā MK noteikumos norādītajos termiņos jābūt sasniegtiem MK noteikumos noteiktajiem investīcijas kārtas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šādā redakcijā: "Ja ir sasniegti Noteikumu Nr.418 6. punkta rādītāji, tad investīcijas ietvaros izmaksas iespējams attiecināt līdz 2027.gada 31.decembrim. Ja finansējuma saņēmējam un sadarbības partnerim izmaksas rodas pēc 2027.gada 31.decembra, tad izmaksas tiek segtas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1.3.sadaļas apakšsadaļā “Risinājuma apraksts” 2. punktā (Papildināt finansējuma saņēmēja uzkrājamo datus) minēto par noteikumu 6.</w:t>
            </w:r>
            <w:r w:rsidR="00000000" w:rsidRPr="00000000" w:rsidDel="00000000">
              <w:rPr>
                <w:vertAlign w:val="superscript"/>
                <w:rtl w:val="0"/>
              </w:rPr>
              <w:t xml:space="preserve">1</w:t>
            </w:r>
            <w:r w:rsidR="00000000" w:rsidRPr="00000000" w:rsidDel="00000000">
              <w:rPr>
                <w:rtl w:val="0"/>
              </w:rPr>
              <w:t xml:space="preserve"> punktā noteikto prasību kompetences centriem reizi gadā pēc Ekonomikas ministrijas pieprasījuma iesniegt šajā punktā noteikto viedās specializācijas jomas rādītāju progresu, vēršam uzmanību uz to, ka tā kā Kohēzijas politikas vadības informācijas sistēmas ANM modulī šobrīd nav paredzēta RIS3 datu uzkrāšana strukturētu datu lauku veidā, tad, izpildot augstākminēto prasību kompetences centriem būs iespēja projekta progresa pārskatā pievienot datus, piemēram, kā Excel pielikumu. Tādējādi EM tiks nodrošināta informācijas viegla pieejamība vienuviet tālākai apkopošanai un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augstākminēto aicinām izvērtēt, vai, lai nodrošinātu informācijas vienotā veidā saņemšanu no kompetences centriem par RIS3 rādītājiem progresu, nebūtu lietderīgi sadarbībā ar kompetences centriem vienoties par vienu, vienkāršu Excel atskaites formu. Papildus aicinām izvērtēt nepieciešamību salāgot augstākminētās prasības izpildes termiņus MK noteikumu projektā un anotācijā, ņemot vērā to, ka MK noteikumu projekta minēts, ka kompetences centri reizi gadā pēc EM pieprasījuma atskaitās par RIS3 rādītāju progresu, savukārt anotācijā minēts, ka finansējuma saņēmējs uzkrātos datus iesniedz Kohēzijas politikas vadības informācijas sistēmā kopā ar progresa pārskatiem.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sadaļā "Pašreizējā situācija" norādīta nekorekta informācija attiecībā uz monitoringa ziņojumu izstrādi. Nacionāli* nav plānota monitoringa ziņojumu izstrāde </w:t>
            </w:r>
            <w:r w:rsidR="00000000" w:rsidRPr="00000000" w:rsidDel="00000000">
              <w:rPr>
                <w:u w:val="single"/>
                <w:rtl w:val="0"/>
              </w:rPr>
              <w:t xml:space="preserve">par katru </w:t>
            </w:r>
            <w:r w:rsidR="00000000" w:rsidRPr="00000000" w:rsidDel="00000000">
              <w:rPr>
                <w:rtl w:val="0"/>
              </w:rPr>
              <w:t xml:space="preserve">no viedās specializācijas (turpmāk – RIS3) jomām, bet gan viens par visām RIS3 specializācijas jomām, un šāda monitoringa ziņojuma izstrāde plānota reizi divos gados (pāra gados), un to kā informatīvo ziņojumu iesniegšanai MK sagatavo EM ciešā sadarbībā ar IZM. Savukārt nepāra gados plānots sagatavot un Latvijas pētniecības un inovāciju stratēģiskajai padomei prezentēt RIS3 jomu progresa pārskatus -kopsavilkumus par katru RIS3 jomu. Lūdzam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politikas programmas 2021.-20207.gadam 25.tabulā ietvertais Tematiskā ieguldījumu priekšnosacījuma Nr.1 (1.1.)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vai reģionālas pārdomātas specializācijas stratēģijas laba pārvaldība" kritēriju izpildes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īstenošanā esoši projekti, lūdzam papildināt anotācijas 1.3. sadaļu ar informāciju, vai, ņemot vērā plānotos grozījumus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būs nepieciešami grozījumi līgumos par projektu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nekorektu regulējuma interpretāciju, lūdzam precizēt anotācijas 1.3. sadaļas apakšsadaļas "Risinājuma apraksts" pirmspēdējās rindkopas pirmos divus teikumus, ņemot vērā, ka noteikumu projekts minēto jautājumu neregulē. Ņemot vērā minēto, lūdzam attiecīgo anotācijā ietverto informāciju precizēt šādā redakcijā: "Ņemot vērā, ka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minētais Centrālās finanšu un līgumu aģentūras (turpmāk - aģentūra) lēmums par finansējuma saņēmēja apstiprināšanu ir lēmums, kas paredz publiskā finansējuma sadali, uz aģentūras attiecīgajiem nodarbinātajiem attiecināms valsts amatpersonas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5.4. sadaļas 1. tabulu papildināt ar informāciju par Komisijas 2023. gada 13. decembra Regulas (ES) Nr. 2023/2831 par Līguma par Eiropas Savienības darbību 107. un 108. panta piemērošanu de minimis atbalstam 5. panta prasību ieviešanu noteikumu projekta 25.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nosaukumu, nosakot, ka šie ir 5.1.1.2.i. investīcijas "Atbalsta instruments inovāciju klasteru attīstībai" pirmās kārtas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pirmās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Kompetences centri pēc Ekonomikas ministrijai pieprasījuma, bet ne retāk kā reizi gadā, iesniedz šādus viedās specializācijas jomas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viedās specializācijas rādītājus formulēt pēc RIS rādītāju kataloga, kas saskaņots starp IZM, EM, FM un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 RIS3 dati saskaņoti ar CSP, kas nodrošina datu uzkrāšanu valstiskā līmenī. Papildus notiek uzkrājamo RIS3 datu saskaņošana ar IZM.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Kompetences centri pēc Ekonomikas ministrijai pieprasījuma, bet ne retāk kā reizi gadā, iesniedz šādus viedās specializācijas jomas rādītājus: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14. ārējie izdevumi pētniecības darbiem, kas pasūtīti citās iestādēs, uzņēmumos, organizācijās (pētniecības un attīstības izdevumu apjoms,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skaidrot, vai atbilstoši normas tvērumam informācija sniedzama tikai par konkrētajā pētniecības projektā iepirktajiem ārpakalpojumiem?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iekļautie RIS3 rādītāji jāuzkrāj tikai attiecībā uz projekta ietvaros veiktajām aktivitātēm, nodrošinot, ka dati netiek norādīti dubultā īstenojot citas atbalsta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12. jaunradītie produkti (preces un pakalpojumi, kas nav tehnoloģijas) (skaits);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14. ārējie izdevumi pētniecības darbiem, kas pasūtīti citās iestādēs, uzņēmumos, organizācijās (pētniecības un attīstības izdevumu apjoms,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6.</w:t>
            </w:r>
            <w:r w:rsidR="00000000" w:rsidRPr="00000000" w:rsidDel="00000000">
              <w:rPr>
                <w:vertAlign w:val="superscript"/>
                <w:rtl w:val="0"/>
              </w:rPr>
              <w:t xml:space="preserve">1</w:t>
            </w:r>
            <w:r w:rsidR="00000000" w:rsidRPr="00000000" w:rsidDel="00000000">
              <w:rPr>
                <w:rtl w:val="0"/>
              </w:rPr>
              <w:t xml:space="preserve">14. punkts attiecas tikai uz konkrētajā pētniecības projektā iepirktajiem ārpakalpojumiem?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iekļautie RIS3 rādītāji jāuzkrāj tikai attiecībā uz projekta ietvaros veiktajām aktivitātēm, nodrošinot, ka dati netiek norādīti dubultā īstenojot citas atbalsta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12. jaunradītie produkti (preces un pakalpojumi, kas nav tehnoloģijas) (skaits);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Lai nodrošinātu investīcijas atbilstību principam "nenodari būtisku kaitējumu" saskaņā ar Eiropas Parlamenta un Padomes 2021. gada 12. februāra Regulas 2021/241, ar ko izveido Atveseļošanas un noturības mehānismu, 2. panta 6. punktu, investīcijas ietvaros Atveseļošanas fonda finansējumu nepiešķir šādām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2021/2416 (ANM regula) 2. panta 6. punktā ietvertā definīcija paredz, ka princips “nenodari būtisku kaitējumu”  "</w:t>
            </w:r>
            <w:r w:rsidR="00000000" w:rsidRPr="00000000" w:rsidDel="00000000">
              <w:rPr>
                <w:i w:val="1"/>
                <w:rtl w:val="0"/>
              </w:rPr>
              <w:t xml:space="preserve">nozīmē neatbalstīt vai neveikt saimnieciskas darbības, kas būtiski kaitē kādam vides mērķim attiecīgā gadījumā </w:t>
            </w:r>
            <w:r w:rsidR="00000000" w:rsidRPr="00000000" w:rsidDel="00000000">
              <w:rPr>
                <w:i w:val="1"/>
                <w:u w:val="single"/>
                <w:rtl w:val="0"/>
              </w:rPr>
              <w:t xml:space="preserve">Regulas 2020/852  </w:t>
            </w:r>
            <w:r w:rsidR="00000000" w:rsidRPr="00000000" w:rsidDel="00000000">
              <w:rPr>
                <w:u w:val="single"/>
                <w:rtl w:val="0"/>
              </w:rPr>
              <w:t xml:space="preserve">[</w:t>
            </w:r>
            <w:r w:rsidR="00000000" w:rsidRPr="00000000" w:rsidDel="00000000">
              <w:rPr>
                <w:rtl w:val="0"/>
              </w:rPr>
              <w:t xml:space="preserve">Ilgtspējīgu ieguldījumu regula] </w:t>
            </w:r>
            <w:r w:rsidR="00000000" w:rsidRPr="00000000" w:rsidDel="00000000">
              <w:rPr>
                <w:i w:val="1"/>
                <w:rtl w:val="0"/>
              </w:rPr>
              <w:t xml:space="preserve">17. panta nozīmē</w:t>
            </w:r>
            <w:r w:rsidR="00000000" w:rsidRPr="00000000" w:rsidDel="00000000">
              <w:rPr>
                <w:rtl w:val="0"/>
              </w:rPr>
              <w:t xml:space="preserve">". Regulas 2020/852 17. pants ietver izsmeļošu kaitējumu vides mērķiem uzskaitījumu, savukārt noteikumu projektā paredzētā 18.</w:t>
            </w:r>
            <w:r w:rsidR="00000000" w:rsidRPr="00000000" w:rsidDel="00000000">
              <w:rPr>
                <w:vertAlign w:val="superscript"/>
                <w:rtl w:val="0"/>
              </w:rPr>
              <w:t xml:space="preserve">1 </w:t>
            </w:r>
            <w:r w:rsidR="00000000" w:rsidRPr="00000000" w:rsidDel="00000000">
              <w:rPr>
                <w:rtl w:val="0"/>
              </w:rPr>
              <w:t xml:space="preserve">punkta apakšpunkti ietver saimniecisko darbību ietekmes uzskaitījumu, kas  daļēji dublē minēto regulas 17. pantu, bet daļēji nosaka atšķirīgus noteikumus (piemēram, izņēmumus, ja piesārņojošo darbību veikšanai ir saņemta atļauja). Ievērojot minēto, lūdzam noteikumu projekta anotācijā skaidrot 18.</w:t>
            </w:r>
            <w:r w:rsidR="00000000" w:rsidRPr="00000000" w:rsidDel="00000000">
              <w:rPr>
                <w:vertAlign w:val="superscript"/>
                <w:rtl w:val="0"/>
              </w:rPr>
              <w:t xml:space="preserve">1 </w:t>
            </w:r>
            <w:r w:rsidR="00000000" w:rsidRPr="00000000" w:rsidDel="00000000">
              <w:rPr>
                <w:rtl w:val="0"/>
              </w:rPr>
              <w:t xml:space="preserve">punkta un Regulas 2020/852 17. panta piemērošanu investīcijas ietvaros, tostarp skaidrot, vai noteikumu projektā ietvertais regulējums nerada Regulas 2020/852 17. panta tiešas piemērošanas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sniegts skaidrojums par Regulas 2020/852 17. panta piemērošanu noteikumu projekta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Lai nodrošinātu investīcijas atbilstību principam "nenodari būtisku kaitējumu" saskaņā ar Eiropas Parlamenta un Padomes 2021. gada 12. februāra Regulas 2021/241, ar ko izveido Atveseļošanas un noturības mehānismu, 2. panta 6. punktu, investīcijas ietvaros Atveseļošanas fonda finansējumu nepiešķir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Lai nodrošinātu investīcijas atbilstību principam "nenodari būtisku kaitējumu" saskaņā ar Eiropas Parlamenta un Padomes 2021. gada 12. februāra Regulas 2021/241, ar ko izveido Atveseļošanas un noturības mehānismu, 2. panta 6. punktu, investīcijas ietvaros Atveseļošanas fonda finansējumu nepiešķir šādām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18.</w:t>
            </w:r>
            <w:r w:rsidR="00000000" w:rsidRPr="00000000" w:rsidDel="00000000">
              <w:rPr>
                <w:vertAlign w:val="superscript"/>
                <w:rtl w:val="0"/>
              </w:rPr>
              <w:t xml:space="preserve">1</w:t>
            </w:r>
            <w:r w:rsidR="00000000" w:rsidRPr="00000000" w:rsidDel="00000000">
              <w:rPr>
                <w:rtl w:val="0"/>
              </w:rPr>
              <w:t xml:space="preserve"> punkta kontekstā izvērtēt no Eiropas Komisijas 2024.gada 13.martā elektroniski saņemtos komentārus attiecībā uz principa "nenodari būtisku kaitējumu" nosacījumiem (adresēti arī Ekonomikas ministrijai, EK komentāri par 1.2.1.2.i. investīcijas 2. pasākuma "Inovatīvu produktu un tehnoloģiju izstrāde" īstenošanas noteikumiem) un izvērtēt nepieciešamību veikt precizējumus šajā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Eiropas Komisijas sniegtajiem norādījumiem attiecībā uz principa "nenodari būtisku kaitējumu"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Lai nodrošinātu investīcijas atbilstību principam "nenodari būtisku kaitējumu" saskaņā ar Eiropas Parlamenta un Padomes 2021. gada 12. februāra Regulas 2021/241, ar ko izveido Atveseļošanas un noturības mehānismu, 2. panta 6. punktu, investīcijas ietvaros Atveseļošanas fonda finansējumu nepiešķir šādām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kompetences centra organizētai pētniecības projektu koordinācijai, tai skaitā sadarbības veicināšanai, informācijas un zināšanu kopīgošanai, kā arī kompetences centra projekta vadības izmaksu segšanai. Finansējumu investīcijas ietvaros šajā apakšpunktā minētajām darbībām sniedz saskaņā ar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3.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atbalsts tiek piešķirts ievērojot visus Komisijas 2023. gada 13. decembra Regulas (ES) Nr. 2023/2831 par Līguma par Eiropas Savienības darbību 107. un 108. panta piemērošanu de minimis atbalstam nosacījumus, lūdzam dzēst atsauci uz regulas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pēc sniegtajiem norādījumiem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kompetences centra organizētai pētniecības projektu koordinācijai, tai skaitā sadarbības veicināšanai, informācijas un zināšanu kopīgošanai, kā arī kompetences centra projekta vadības izmaksu segšanai. Finansējumu investīcijas ietvaros šajā apakšpunktā minētajām darbībām sniedz saskaņā ar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54.1.15. sniegt priekšlikumus viedās specializācijas ilgtermiņa stratēģijas pilnveidošanā un darbības plāna precizēšanā;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priekšlikumu sniegšanu viedās specializācijas ilgtermiņa stratēģijas pilnveidošanā un darbības plāna precizēšanā norādīt pie kompetences centra tiesībām attiecīgo Ministru kabineta noteikumu 54.2. apakšpunktā, nevis pienākumiem, jo no noteikumu projekta un tā anotācijas neizriet, kā tiks pārbaudīts, vai konkrētos apstākļos priekšlikumi bija jāsniedz, turklāt obligāta priekšlikumu sniegšana bez objektīvas nepieciešamības to darīt ir lieks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54.1.21. līdz 2026. gada 30. jūnijam apstiprināt pētniecības projektus par vismaz 2 815 000 </w:t>
            </w:r>
            <w:r w:rsidR="00000000" w:rsidRPr="00000000" w:rsidDel="00000000">
              <w:rPr>
                <w:i w:val="1"/>
                <w:rtl w:val="0"/>
              </w:rPr>
              <w:t xml:space="preserve">euro</w:t>
            </w:r>
            <w:r w:rsidR="00000000" w:rsidRPr="00000000" w:rsidDel="00000000">
              <w:rPr>
                <w:rtl w:val="0"/>
              </w:rPr>
              <w:t xml:space="preserve"> no šo noteikumu </w:t>
            </w:r>
            <w:r w:rsidR="00000000" w:rsidRPr="00000000" w:rsidDel="00000000">
              <w:rPr>
                <w:rtl w:val="0"/>
              </w:rPr>
              <w:t xml:space="preserve">102.</w:t>
            </w:r>
            <w:r w:rsidR="00000000" w:rsidRPr="00000000" w:rsidDel="00000000">
              <w:rPr>
                <w:rtl w:val="0"/>
              </w:rPr>
              <w:t xml:space="preserve"> punktā</w:t>
            </w:r>
            <w:r w:rsidR="00000000" w:rsidRPr="00000000" w:rsidDel="00000000">
              <w:rPr>
                <w:rtl w:val="0"/>
              </w:rPr>
              <w:t xml:space="preserve"> minētā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kompetences centru pienākumu līdz 2026. gada 30. jūnijam apstiprināt pētniecības projektus par vismaz 2 815 000 euro, jo minētais pienākums varētu būt pretrunā ar šajos noteikumos noteikto, ka pētniecības projektus apstiprina vienīgi gadījumos, ja tie atbilst šo noteikumu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šādā redakcijā: </w:t>
            </w:r>
            <w:r w:rsidR="00000000" w:rsidRPr="00000000" w:rsidDel="00000000">
              <w:rPr>
                <w:i w:val="1"/>
                <w:rtl w:val="0"/>
              </w:rPr>
              <w:t xml:space="preserve">nodrošināt projekta ietvaros noteikto rādītāju sasniegšanu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54.1.21. nodrošināt projekta ietvaros noteikto rādītāju sasniegšanu līdz 2026. gada 30. jūnijam;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54.1.24. atmaksāt aģentūrai neieguldīto Atveseļošanas fonda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sniedzot skaidrojumu arī par noteikumu projekta 1. punkta būtību,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 "Precizēt Noteikumu Nr.418 nosaukumu atbilstoši Atveseļošanas un noturības mehānisma plānam, nodrošinot skaidras tiesību normas un mazinot interpretācijas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54.1.24. atmaksāt aģentūrai neieguldīto Atveseļošanas fonda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Nozares ministrija sagatavo izskatīšanai Ministru kabinetā ziņojumu par investīcijas īstenošanu, kas ietver informāciju par turpmāku investīcijas uzraudzību pēc 2026. gada 31. augusta, tai skaitā par finansējuma izlietojumu, sniedzot priekšlikumus par finansējuma pārvirzīšanu nozares ministrijas atbalsta pasākumiem Eiropas Savienības kohēzijas politikas programmas 2021.–2027. gadam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 un 13. punktā ietverto regulējumu iekļaut atbilstošā nodaļā, jo attiecīgie jautājumi nav saistīti ar projekta īstenošanu un finansējuma 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Tieslietu ministrijas sniegto komentāru, skaidrojam, ka šāda pieeja un attiecīgo punktu iekļaušana noteikumu projekta nodaļā - projekta īstenošanas un finansējuma saņemšanas nosacījumi - īstenota un saskaņota pārējās Ekonomikas ministrijas pētniecības atbalsta programmās. Attiecīgi nodrošinot vienādu pieeju visās pētniecības atbalsta programmās punkti saglabāti esošajā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Nozares ministrija sagatavo izskatīšanai Ministru kabinetā ziņojumu par investīcijas īstenošanu, kas ietver informāciju par turpmāku investīcijas uzraudzību pēc 2026. gada 31. augusta, tai skaitā par finansējuma izlietojumu, sniedzot priekšlikumus par finansējuma pārvirzīšanu nozares ministrijas atbalsta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Nozares ministrija sagatavo izskatīšanai Ministru kabinetā ziņojumu par investīcijas īstenošanu, kas ietver informāciju par turpmāku investīcijas uzraudzību pēc 2026. gada 31. augusta, tai skaitā par finansējuma izlietojumu, sniedzot priekšlikumus par finansējuma pārvirzīšanu nozares ministrijas atbalsta pasākumiem Eiropas Savienības kohēzijas politikas programmas 2021.–2027. gadam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un paredzēt līdzšinējo investīcijas uzraudzības kārtību, kas nosaka, ka projektu īstenošanas termiņš ir 2026. gada 30. jūnijs (lūdzu skatīt iebildumu ar pamatojumu pie MK noteikumu 52.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Finanšu ministrijas sniegto komentāru un sniedz sekojošu skaidrojumu, pēc KPVIS pieejamās informācijas secināms, ka projektu ieviešanas progress ir zemā līmenī, tādēļ nepieciešams izmaksu attiecināmības termiņa pagarinājums, lai nodrošinātu efektīvu projektu ieviešanu un vienādu pieeju visās pētniecības atbalsta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Nozares ministrija sagatavo izskatīšanai Ministru kabinetā ziņojumu par investīcijas īstenošanu, kas ietver informāciju par turpmāku investīcijas uzraudzību pēc 2026. gada 31. augusta, tai skaitā par finansējuma izlietojumu, sniedzot priekšlikumus par finansējuma pārvirzīšanu nozares ministrijas atbalsta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Nozares ministrija sagatavo izskatīšanai Ministru kabinetā ziņojumu par investīcijas īstenošanu, kas ietver informāciju par turpmāku investīcijas uzraudzību pēc 2026. gada 31. augusta, tai skaitā par finansējuma izlietojumu, sniedzot priekšlikumus par finansējuma pārvirzīšanu nozares ministrijas atbalsta pasākumiem Eiropas Savienības kohēzijas politikas programmas 2021.–2027. gadam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Ministru kabineta 2022. gada 5. jūlija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plānotajā 91.</w:t>
            </w:r>
            <w:r w:rsidR="00000000" w:rsidRPr="00000000" w:rsidDel="00000000">
              <w:rPr>
                <w:vertAlign w:val="superscript"/>
                <w:rtl w:val="0"/>
              </w:rPr>
              <w:t xml:space="preserve">1</w:t>
            </w:r>
            <w:r w:rsidR="00000000" w:rsidRPr="00000000" w:rsidDel="00000000">
              <w:rPr>
                <w:rtl w:val="0"/>
              </w:rPr>
              <w:t xml:space="preserve"> punktā vārdus "nozares ministrijas atbalsta pasākumiem" ar vārdiem "atbildīgās iestādes atbalsta pasākumiem", ņemot vērā funkciju nodalāmību Ekonomikas ministrijā un to, ka Atveseļošanas un noturības mehānisma ietvaros atbilstoši Ministru kabineta 2021. gada 7. septembra noteikumiem Nr. 621 "Eiropas Savienības Atveseļošanas un noturības mehānisma plāna īstenošanas un uzraudzības kārtība" Ekonomikas ministrija ir nozares ministrija, bet Eiropas Savienības fondu 2021.-2027. gada plānošanas perioda ietvaros atbilstoši Eiropas Savienības fondu 2021.-2027. gada plānošanas perioda vadības likumam -  atbildīgā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 punktā dzēsta atsauce uz "Eiropas Savienības kohēzijas politikas programmas 2021.–2027. gadam plānošanas periodā".  Atbilstoši Ministru kabineta 2021. gada 7. septembra noteikumiem Nr. 621 "Eiropas Savienības Atveseļošanas un noturības mehānisma plāna īstenošanas un uzraudzības kārtība" noteikumu projektā Ekonomikas ministrija ir nozares ministrija, lai neradītu liekas interpretācijas iespējas un nodrošinātu vienādu pieeju visās Ekonomikas ministrijas pētniecības atbalsta programmās saglabāts vārdu lietojums "nozares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Nozares ministrija sagatavo izskatīšanai Ministru kabinetā ziņojumu par investīcijas īstenošanu, kas ietver informāciju par turpmāku investīcijas uzraudzību pēc 2026. gada 31. augusta, tai skaitā par finansējuma izlietojumu, sniedzot priekšlikumus par finansējuma pārvirzīšanu nozares ministrijas atbalsta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2</w:t>
            </w:r>
            <w:r w:rsidR="00000000" w:rsidRPr="00000000" w:rsidDel="00000000">
              <w:rPr>
                <w:rtl w:val="0"/>
              </w:rPr>
              <w:t xml:space="preserve"> Ja investīcijas ietvaros ir sasniegti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minētie rādītāji, bet investīcijai atvēlētais finansējums līdz 2027. gada 31. decembrim nav ieguldīts pilnā apmērā, nozares ministrija informāciju par neieguldītā finansējuma izlietojumu iekļauj šo noteikumu </w:t>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investīcijai atvēlētā finansējuma ieguldījumu termiņu līdz 2026. gada 30. jūnijam (lūdzu skatīt iebildumu ar pamatojumu pie MK noteikumu 52.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Finanšu ministrijas sniegto komentāru un sniedz sekojošu skaidrojumu, pēc KPVIS pieejamās informācijas secināms, ka projektu ieviešanas progress ir zemā līmenī, tādēļ nepieciešams izmaksu attiecināmības termiņa pagarinājums, lai nodrošinātu efektīvu projektu ieviešanu un vienādu pieeju visās pētniecības atbalsta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2</w:t>
            </w:r>
            <w:r w:rsidR="00000000" w:rsidRPr="00000000" w:rsidDel="00000000">
              <w:rPr>
                <w:rtl w:val="0"/>
              </w:rPr>
              <w:t xml:space="preserve"> Ja investīcijas ietvaros ir sasniegti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minētie rādītāji, bet investīcijai atvēlētais finansējums līdz 2027. gada 31. decembrim nav ieguldīts pilnā apmērā, nozares ministrija informāciju par neieguldītā finansējuma izlietojumu iekļauj šo noteikumu </w:t>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ziņojumā.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Atbalstu projekta iesniedzējam nepiešķir Komisijas regulas Nr. 2023/2831 1. panta 1. punktā noteiktajām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atbalstu nepiešķir arī Komisijas regulas Nr. 2023/2831 1. panta 1. punkta e) un f) noteiktajām darbībām, lūdzam papildināt 110.punktu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Atbalstu projekta iesniedzējam nepiešķir Komisijas regulas Nr. 2023/2831 1. panta 1. punktā noteiktajām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pēc sniegtajiem norādījumiem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Atbalstu projekta iesniedzējam nepiešķir Komisijas regulas Nr. 2023/2831 1. panta 1. punktā noteiktajām nozarēm un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Ja tiek pārkāptas šajos noteikumos noteiktās komercdarbības atbalsta kontroles normas, tostarp nosacījumi, kas izriet no Komisijas regulas Nr. </w:t>
            </w:r>
            <w:r w:rsidR="00000000" w:rsidRPr="00000000" w:rsidDel="00000000">
              <w:rPr>
                <w:rtl w:val="0"/>
              </w:rPr>
              <w:t xml:space="preserve">651/2014</w:t>
            </w:r>
            <w:r w:rsidR="00000000" w:rsidRPr="00000000" w:rsidDel="00000000">
              <w:rPr>
                <w:rtl w:val="0"/>
              </w:rPr>
              <w:t xml:space="preserve">, Atveseļošanas fonda finansējuma saņēmējam ir pienākums atmaksāt aģentūrai nelikumīgo projekta ietvaros piešķirto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 Procenti ir aprēķināmi no dienas, kad nelikumīgais atbalsts pirmo reizi nodots sadarbības partnerim, līdz tā atgūšanas dienai. Minētajā gadījumā finansējuma saņēmējam ir tiesības no sadarbības partnera saņemt kompensāciju atmaksātā nelikumīgā atbalsta  (kopā ar procentiem)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kā nelikumīgs komercdarbības atbalsts ir atgūstams tikai tāds atbalsts, ja tas tiek piešķirts, neievērojot Komisijas regulas Nr. 651/2014 normas, lūdzam noteikumu 116.punktu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Ja tiek pārkāpti Komisijas regulas Nr. 651/2014 nosacījumi, Atveseļošanas fonda finansējuma saņēmējam ir pienākums atmaksāt aģentūrai nelikumīgo projekta ietvaros piešķirto komercdarbības atbalstu kopā ar procentiem no līdzekļiem, kas ir brīvi no komercdarbības atbalsta, atbilstoši Komercdarbības atbalsta kontroles likuma IV vai V nodaļas nosacījumiem. Procenti ir aprēķināmi no dienas, kad nelikumīgais atbalsts pirmo reizi nodots sadarbības partnerim, līdz tā atgūšanas dienai. Minētajā gadījumā finansējuma saņēmējam ir tiesības no sadarbības partnera saņemt kompensāciju atmaksātā nelikumīgā atbalsta  (kopā ar procentiem)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Ja attiecībā uz sadarbības partnerim piešķirto atbalstu tiek pārkāpti Komisijas regulas Nr. </w:t>
            </w:r>
            <w:r w:rsidR="00000000" w:rsidRPr="00000000" w:rsidDel="00000000">
              <w:rPr>
                <w:rtl w:val="0"/>
              </w:rPr>
              <w:t xml:space="preserve">651/2014</w:t>
            </w:r>
            <w:r w:rsidR="00000000" w:rsidRPr="00000000" w:rsidDel="00000000">
              <w:rPr>
                <w:rtl w:val="0"/>
              </w:rPr>
              <w:t xml:space="preserve"> nosacījumi, Atveseļošanas fonda finansējuma saņēmējam ir pienākums atmaksāt aģentūrai nelikumīgo projekta ietvaros piešķirto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 Finansējuma saņēmējam ir tiesības no sadarbības partnera saņemt kompensāciju atmaksātā nelikumīgā atbalsta (kopā ar procentiem)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Informācijas pieejamība un dokumentu glabāšana tiek nodrošināta šādā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 punktā precīzāk noteikt, par kādas informācijas un dokumentu glabāšanu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iekļauts skaidrojums, šādā redakcijā: Ar informācijas pieejamību un dokumentu glabāšanu saprotama visa ar projekta īstenošanu saistītās informācijas pieejamība un dokumentu glabāšana, kā piemēram, līgumi, pētniecības projektu saraksti, pētniecības projektu atlases padomes protokoli, izmaksas pamatojošā dokumentācija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24-TA-204</w:t>
    </w:r>
    <w:r>
      <w:br/>
    </w:r>
    <w:r w:rsidR="00000000" w:rsidRPr="00000000" w:rsidDel="00000000">
      <w:rPr>
        <w:rtl w:val="0"/>
      </w:rPr>
      <w:t xml:space="preserve">18.06.2024. 13.22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24-TA-204</w:t>
    </w:r>
    <w:r>
      <w:br/>
    </w:r>
    <w:r w:rsidR="00000000" w:rsidRPr="00000000" w:rsidDel="00000000">
      <w:rPr>
        <w:rtl w:val="0"/>
      </w:rPr>
      <w:t xml:space="preserve">18.06.2024. 13.22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Izziņa_24-TA-204.docx</dc:title>
</cp:coreProperties>
</file>

<file path=docProps/custom.xml><?xml version="1.0" encoding="utf-8"?>
<Properties xmlns="http://schemas.openxmlformats.org/officeDocument/2006/custom-properties" xmlns:vt="http://schemas.openxmlformats.org/officeDocument/2006/docPropsVTypes"/>
</file>