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22-TA-3110: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14. aprīļa noteikumos Nr. 182 "Noteikumi par higiēnas prasībām tetovēšanas un pīrsinga pakalpojumu sniegšanai un speciālajām prasībām tetovēšanas līdzekļiem"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(01.04.2020.)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līdzās nepieciešamībai no Ministru kabineta 2015. gada 14. aprīļa noteikumiem Nr. 182 "Noteikumi par higiēnas prasībām tetovēšanas un pīrsinga pakalpojumu sniegšanai un speciālajām prasībām tetovēšanas līdzekļiem" svītrot normas, kas dublē Eiropas Parlamenta un Padomes Regulas (EK) Nr. 1907/2006 (REACH) (turpmāk – Regula 1907/2006) XVII pielikuma 75. punktā noteiktās prasības ķīmiskiem maisījumiem, ko izmanto tetovēšanai, šo maisījumu sastāvam un marķējumam atbilstoši grozījumiem “Komisijas Regulā (ES) 2020/2081 (2020. gada 14. decembris), ar ko attiecībā uz tetovēšanas tinšu vai permanentā grima sastāvā esošām vielām groza Eiropas Parlamenta un Padomes Regulu (EK) Nr. 1907/2006, kas attiecas uz ķimikāliju reģistrēšanu, vērtēšanu, licencēšanu un ierobežošanu (REACH), XVII pielikumu, noteikumu projektā iekļautas precizējošas normas, kuru pamatojums veidojies no praktiskās pieredzes, ko uzraugošā darbā novērojuši Veselības inspekcijas sabiedrības veselības jomas inspektori (šāda norāde ietverta anotācijas 1.sadaļā). Attiecīgi Valsts kancelejas ieskatā noteikumu projektam bija jānodrošina sabiedrības līdzdalības iespējas, par plānotajām izmaiņām kā minimums informējot un tās apspriežot ar nozarē strādājošajiem speciālistiem un tos pārstāvošajām organizācijām.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VK un TM iebildumu, VM ir nosūtījusi informatīvu vēstuli Nr. 01-08/3311 “Par MK noteikumu grozījumu projektu tetovēšanas pakalpojumu sniegšanai“ profesionālajām organizācijām (</w:t>
            </w:r>
            <w:r w:rsidR="00000000" w:rsidRPr="00000000" w:rsidDel="00000000">
              <w:rPr>
                <w:i w:val="1"/>
                <w:rtl w:val="0"/>
              </w:rPr>
              <w:t xml:space="preserve">Latvijas Tetovēšanas biedrībai, Latvijas Skaistumkopšanas speciālistu asociācijai, Latvijas kosmētiķu un kosmetologu asociācijai</w:t>
            </w:r>
            <w:r w:rsidR="00000000" w:rsidRPr="00000000" w:rsidDel="00000000">
              <w:rPr>
                <w:rtl w:val="0"/>
              </w:rPr>
              <w:t xml:space="preserve">), informējot par plānotajiem grozījumiem un vēstulei pievienojot noteikumu grozījumu projektu un anotāciju, ar lūgumu sniegt VM komentārus vai ieteikumus, ja tādi 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vai priekšlikumi no minētajiem nozares pārstāvjiem netika saņemti.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vēstulē tika vērsta uzmanība uz VI tīmekļvietnē 05.01.2022. sniegto skaidrojumu attiecībā uz Regulas prasībām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Noteikti ierobežojumi attiecībā uz tetovēšanas tintes vai permanentā grima sastāvā esošām vielām. Publicēts: 05.01.2022. Pieejams: https://www.vi.gov.lv/lv/jaunums/noteikti-ierobezojumi-attieciba-uz-tetovesanas-tintes-vai-permanenta-grima-sastava-esosam-vielam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prasības skar tetovēšanas un pīrsinga pakalpojumu sniedzējus, lūdzam aizpildīt sadaļu par ietekmi uz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paredzētajam būs ietekme uz pakalpojumu sniedzējiem, lūdzam aizpildīt noteikumu projekta anotācijas 2.sadaļu, raksturojot ietekmi uz dažādām sabiedrības grupām - pakalpojumu sniedzējiem, potenciālajiem klientiem, kā arī vērtēt, vai neveidojās atbilstības izmaksas, ņemot vērā, ka jānodrošina noteikta veida atkritumu tvertnes un informācijas sniegšanas pienākums rakstiskā formā.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 sadaļa, norādot sabiedrības grupas, kuras tiesiskais regulējums ietekmē vai var ietekmēt, t.i., tetovēšanas un pīrsinga pakalpojuma saņēmēji (</w:t>
            </w:r>
            <w:r w:rsidR="00000000" w:rsidRPr="00000000" w:rsidDel="00000000">
              <w:rPr>
                <w:i w:val="1"/>
                <w:rtl w:val="0"/>
              </w:rPr>
              <w:t xml:space="preserve">klienti, t.i., fiziskas personas</w:t>
            </w:r>
            <w:r w:rsidR="00000000" w:rsidRPr="00000000" w:rsidDel="00000000">
              <w:rPr>
                <w:rtl w:val="0"/>
              </w:rPr>
              <w:t xml:space="preserve">); tetovēšanas un pīrsinga pakalpojuma sniedzēji un Veselības inspekcijas inspektori (</w:t>
            </w:r>
            <w:r w:rsidR="00000000" w:rsidRPr="00000000" w:rsidDel="00000000">
              <w:rPr>
                <w:i w:val="1"/>
                <w:rtl w:val="0"/>
              </w:rPr>
              <w:t xml:space="preserve">juridiskas personas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izmaiņas attiecībā uz  atkritumu tvertnēm Noteikumu projektā netiek iekļautas.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pakalpojuma sniedzēja potenciāli iespējamajām atbilstības izmaksām, kas saistītas ar pienākumu izsniegt klientam rakstisku informāciju par tetovēšanas līdzekļiem, paskaidrojam, ka šāda prasība jau ir paredzēta Noteikumu 31. punktā: “</w:t>
            </w:r>
            <w:r w:rsidR="00000000" w:rsidRPr="00000000" w:rsidDel="00000000">
              <w:rPr>
                <w:i w:val="1"/>
                <w:u w:val="single"/>
                <w:rtl w:val="0"/>
              </w:rPr>
              <w:t xml:space="preserve">Pēc</w:t>
            </w:r>
            <w:r w:rsidR="00000000" w:rsidRPr="00000000" w:rsidDel="00000000">
              <w:rPr>
                <w:i w:val="1"/>
                <w:rtl w:val="0"/>
              </w:rPr>
              <w:t xml:space="preserve"> pakalpojuma sniegšanas pakalpojuma sniedzējs izsniedz klientam minētās informācijas apkopojumu rakstiski</w:t>
            </w:r>
            <w:r w:rsidR="00000000" w:rsidRPr="00000000" w:rsidDel="00000000">
              <w:rPr>
                <w:rtl w:val="0"/>
              </w:rPr>
              <w:t xml:space="preserve">.” Noteikumu  projektā šī prasība tiek precizēta, nosakot, ka klients rakstisku informāciju saņem </w:t>
            </w:r>
            <w:r w:rsidR="00000000" w:rsidRPr="00000000" w:rsidDel="00000000">
              <w:rPr>
                <w:u w:val="single"/>
                <w:rtl w:val="0"/>
              </w:rPr>
              <w:t xml:space="preserve">pirms </w:t>
            </w:r>
            <w:r w:rsidR="00000000" w:rsidRPr="00000000" w:rsidDel="00000000">
              <w:rPr>
                <w:rtl w:val="0"/>
              </w:rPr>
              <w:t xml:space="preserve">pakalpojuma sniegšanas, nevis pēc tā saņemšanas, tādējādi ļaujot klientam rūpīgāk iepazīties ar informāciju un nepieciešamības gadījumā saņemt arī izsmeļošu pakalpojuma sniedzēja atbildi par neskaidrajiem ar izvēlēto procedūru saistītiem  jautājumiem.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ko Noteikumu projekta 10. punkta jaunā redakcija nerada papildus finansiālu slogu pakalpojumu sniedzējam un neprasa finanšu aprēķinu.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grozījumi paredz izmaiņas informācijas sniegšanas prasībās (uzņēmējiem jāsniedz rakstiska informācija klientiem), lūdzam atbilstoši Vadlīnijām tiesību akta sākotnējās ietekmes novērtēšanai un novērtējuma ziņojuma sagatavošanai vienotajā tiesību aktu izstrādes un saskaņošanas portālā veikt administratīvo izmaksu novērtējumu, izmantojot paplašināto standarta izmaksu modeli. Lūdzam aprēķinu rezultātus iekļaut anotācijā, ja ietekme viena gada ietvaros pārsniedz 2000 eur (mērķa grupai kopumā). Papildus lūdzam iekļaut informāciju par administratīvā sloga izmaiņām, salīdzinot ar spēkā esošajiem noteikumiem (norādot to kā starpību administratīvo izmaksu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Spēkā esošo MK noteikumu 31.punkta otrais teikums paredz rakstisku informāciju par pakalpojumu klientam izsniegt pēc pakalpojuma saņemšanas, savukārt noteikumu projekts paredz šo informāciju izsniegt klientam pirms procedūras uzsākšanas, ļaujot klientam ar šo informāciju iepazīties un iztaujāt pakalpojuma sniedzēju par sev būtiskiem jautājumiem. Līdz ar ko administratīvais slogs nemainās.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2.1.punktā minēts, ka saīsinātas apmācību programmas apgūšana, lai atkārtoti iegūtu apliecību par apgūtu apmācību programmu "Tetovēšanas un pīrsinga pakalpojuma sniegšanai noteiktās minimālās higiēnas prasības" , mazinās slogu tetovēšanas un pīrsinga pakalpojuma sniedzējiem. Lūdzam atbilstoši Vadlīnijām tiesību akta projekta sākotnējās ietekmes novērtēšanai un novērtējuma ziņojuma sagatavošanai vienotajā tiesību aktu izstrādes un saskaņošanas portālā veikt atbilstības izmaksu monetāro novērtējumu, norādot arī starpību starp spēkā esošo noteikumu radīto ietekmi uz atbilstības izmaksām un noteikumu grozījumu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Atbilstības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anotācijā sniegtos skaidrojumus un norādi uz to, ka projekts neattiecas uz sabiedrības līdzdalību, jo svītro normas, kas dublē Regulu 2020/2081. Vēršam uzmanību, ka atbilstoši projektam, tā konsolidētajai versijai un anotācijai ar grozījumiem tiek arī paplašināta apmācību programma, tajā skaitā, pagarinot apmācību ilgumu, precizēti noteikumi attiecībā uz atkārtotajām apmācībām. Attiecīgi lūdzam veikt nepieciešamos labojumus un vajadzības gadījumā arī veikt sabiedrības līdzdalības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VK un TM iebildumu, VM ir nosūtījusi informatīvu vēstuli Nr. 01-08/3311 “Par MK noteikumu grozījumu projektu tetovēšanas pakalpojumu sniegšanai“ profesionālajām organizācijām (Latvijas Tetovēšanas biedrībai, Latvijas Skaistumkopšanas speciālistu asociācijai, Latvijas kosmētiķu un kosmetologu asociācijai), informējot par plānotajiem grozījumiem un vēstulei pievienojot noteikumu grozījumu projektu un anotāciju, ar lūgumu sniegt VM komentārus vai ieteikumus, ja tādi 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vai priekšlikumi no minētajiem nozares pārstāvjiem netika saņemti.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vēstulē tika vērsta uzmanība uz VI tīmekļvietnē 05.01.2022. sniegto skaidrojumu attiecībā uz Regulas prasībām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Noteikti ierobežojumi attiecībā uz tetovēšanas tintes vai permanentā grima sastāvā esošām vielām. Publicēts: 05.01.2022. Pieejams: https://www.vi.gov.lv/lv/jaunums/noteikti-ierobezojumi-attieciba-uz-tetovesanas-tintes-vai-permanenta-grima-sastava-esosam-vielam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vērš uzmanību, ka mācību programmas 6. tēmā “Tetovēšanai un pīrsingam izmantojamie materiāli un to drošības prasības” tiek saglabāts tēmas apgūšanai  paredzētais mācību laiks, t.i., 120 minūtes. Precizējums paredz tikai to, ka tēma sevī iekļauj Regulas 1907/2006* XVII pielikuma 75. punktā noteikto attiecībā uz tetovēšanai un pīrsingam izmantojamajiem materiāliem un to drošības prasībām. Tāpat paliek nemainīgs arī kopējais mācību programmas apguves ilgums, t.i., 1080 minūtes, ieskaitot apgūto zināšanu pārbaudes laiku. Kopējais programmas saturs atbilst 18 astronomiskajām stundām un ir saskaņā ar Noteikumu 28.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precizētajā Noteikumu 29.punktā, kas šobrīd nosaka prasību reizi piecos gados atkārtoti apgūt 3. pielikumā minēto apmācību programmu, paredzēts, ka programmas  1. tēma nebūtu jāmācās atkārtoti, jo fizioloģijas un anatomijas jautājumi ir apgūti pirmreizējā apmācības kursā un tie būtiski nemainās. Līdz ar ko, apgūstot  mācību programmu atkārtoti, kopējais mācību ilgums samazinās par 120 minūtēm, jo 1.tēma "Cilvēka anatomija un fizioloģija", kurai ir paredzētas 120 minūtes, atkārtoti vairs nav jāapgūst..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vai priekšlikumi arī par mācību programmas vai  atkārtoti apgūstamās programmas saturu un apjomu no nozares profesionālajām organizācijām netika saņemti.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Apliecību atbilstoši šo noteikumu 4. pielikumam izsniedz apmācīttiesīga institūcija, ja persona ir apguvusi apmācību programmu "Tetovēšanas un pīrsinga pakalpojuma sniegšanai noteiktās minimālās higiēnas prasības" un nokārtojusi zināšanu pārbaudi. Apliecība ir derīga piecus gadus. Reizi piecos gados personai vienas dienas nodarbībās ir atkārtoti jānoklausās 3.pielikumā norādītā programma, izņemot fizioloģijas un anatomijas jautājumus, kas jau apgūti pirmreizējā apmācības kursā un būtiski nemainās, kā arī jānokārto zināšanu pārbaude un jāsaņem jauna apliecība par apmācību programmas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Apmācīttiesīgā institūcija veic atbilstoši šo noteikumu 3.  pielikumā norādītajai programmai organizēto apmācību uzskaiti. Uzskaites dokumentus glabā sešus gadus, un tajos ietver šādu informāciju – apmācību programmas nosaukums un stundu skaits, apmācību programmas tēmas, pasniedzēja vārds, uzvārds un paraksts, apmācītās personas vārds, uzvārds un paraksts, izsniegtās apliecības numurs un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un anotāciju, ņemot vērā, ka no noteikumu konsolidētās versijas izriet arī grozījumi Ministru kabineta 2015. gada 14. aprīļa noteikumu Nr. 182 "Noteikumi par higiēnas prasībām tetovēšanas un pīrsinga pakalpojumu sniegšanai un speciālajām prasībām tetovēšanas līdzekļiem" 29. punktā, kas nav iekļauti projektā un skaidroti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Noteikumu (grozījumu)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Apliecību atbilstoši šo noteikumu 4. pielikumam izsniedz apmācīttiesīga institūcija, ja persona ir apguvusi apmācību programmu "Tetovēšanas un pīrsinga pakalpojuma sniegšanai noteiktās minimālās higiēnas prasības" un nokārtojusi zināšanu pārbaudi. Apliecība ir derīga piecus gadus. Apliecību atkārtoti izsniedz pēc atkārtotas apmācību programmas, izņemot 3. pielikuma 1. tēmu “Cilvēka anatomija un fizioloģija”, apgūšanas. Apmācīttiesīgā institūcija veic atbilstoši šo noteikumu 3. pielikumā norādītajai programmai organizēto apmācību uzskaiti. Uzskaites dokumentus glabā sešus gadus, un tajos ietver šādu informāciju – apmācību programmas nosaukums un stundu skaits, apmācību programmas tēmas, pasniedzēja vārds, uzvārds un paraksts, apmācītās personas vārds, uzvārds un paraksts, izsniegtās apliecības numurs un datums.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Komisijas 2020. gada 14. decembra Regulu (ES) 2020/2081 ar ko attiecībā uz tetovēšanas tinšu vai permanentā grima sastāvā esošām vielām groza Eiropas Parlamenta un Padomes Regulas (EK) Nr. 1907/2006, kas attiecas uz ķimikāliju reģistrēšanu, vērtēšanu, licencēšanu un ierobežošanu (REACH), XVII pielikumu (turpmāk - Regula 2020/2081).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1.1. apakšpunkta aprakstu, norādot, ka grozījumi tiek veikti nevis atbilstoši grozījumiem “Komisijas Regulā (ES) 2020/2081", bet pamatojoties uz Komisijas 2020. gada 14. decembra Regulu (ES) 2020/2081 ar ko attiecībā uz tetovēšanas tinšu vai permanentā grima sastāvā esošām vielām groza Eiropas Parlamenta un Padomes Regulas (EK) Nr. 1907/2006, kas attiecas uz ķimikāliju reģistrēšanu, vērtēšanu, licencēšanu un ierobežošanu (REACH), XVII pielikumu (turpmāk - Regula 2020/2081). Tāpat arī anotācijas 1.2. apakšpunkta mērķa aprakstā lūdzam ņemt vērā, ka projekta mērķis šķietami ir nevis nodrošināt atbilstību Eiropas Parlamenta un Padomes 2006. gada 18. decembra Regulai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(turpmāk - Regula 1907/2006), bet arī Regulai 2020/2081 ar kuru ir grozīta Regula 1907/2006.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apakšpunkta skaidrojumu par noteikumu projekta 7. punktu analoģiski citiem skaidrojumiem, kas ietverti anotācijas 1.3. apakšpunkta otrajā risinājuma aprakstā. Proti, aicinām precizēt, kādu </w:t>
            </w:r>
            <w:r w:rsidR="00000000" w:rsidRPr="00000000" w:rsidDel="00000000">
              <w:rPr>
                <w:i w:val="1"/>
                <w:rtl w:val="0"/>
              </w:rPr>
              <w:t xml:space="preserve">Komisijas 2020. gada 14. decembra Regulas (ES) 2020/2081, ar ko attiecībā uz tetovēšanas tinšu vai permanentā grima sastāvā esošām vielām groza Eiropas Parlamenta un Padomes Regulas (EK) Nr. 1907/2006, kas attiecas uz ķimikāliju reģistrēšanu, vērtēšanu, licencēšanu un ierobežošanu (REACH</w:t>
            </w:r>
            <w:r w:rsidR="00000000" w:rsidRPr="00000000" w:rsidDel="00000000">
              <w:rPr>
                <w:rtl w:val="0"/>
              </w:rPr>
              <w:t xml:space="preserve">) XVII pielikuma prasību dublēšanu konkrētais noteikumu projekta punkts novērš.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informāciju par noteikumu projekta pielikuma papildināšanu ar atsauci uz </w:t>
            </w:r>
            <w:r w:rsidR="00000000" w:rsidRPr="00000000" w:rsidDel="00000000">
              <w:rPr>
                <w:i w:val="1"/>
                <w:rtl w:val="0"/>
              </w:rPr>
              <w:t xml:space="preserve">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w:t>
            </w:r>
            <w:r w:rsidR="00000000" w:rsidRPr="00000000" w:rsidDel="00000000">
              <w:rPr>
                <w:rtl w:val="0"/>
              </w:rPr>
              <w:t xml:space="preserve"> XVII pielikuma 75. punktu norādīt anotācijas 5.punkta sadaļā "Cita informācija" (t.i., norādot  noteikumu projektā ietvertā regulējuma saistību ar Eiropas Savienības tiesību aktiem).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atbilstoši TM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1.3. apakšpunktā veikto labojumu formulējumu korektumu,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b w:val="1"/>
                <w:rtl w:val="0"/>
              </w:rPr>
              <w:t xml:space="preserve"> </w:t>
            </w:r>
            <w:r w:rsidR="00000000" w:rsidRPr="00000000" w:rsidDel="00000000">
              <w:rPr>
                <w:rtl w:val="0"/>
              </w:rPr>
              <w:t xml:space="preserve">laboto teksta daļu: "(6) svītrot noteikumu 18. punktu, jo prasība par marķējumā norādāmo maisījuma uzglabāšanas režīmu nav noteikta Regulā 2020/2081, ar kuru groza Regulas 1907/2006  XVII pielikumu un nav obligāta, bet to norāda pēc nepieciešamības, ko novērtējis ražotājs" un papildināt to ar šķietami iztrūkstošo informāciju par pamatojumu marķējumā norādāmā maisījuma uzglabāšanas režīma novērtēšanai. Vēršam uzmanību, ka pamatojoties uz anotācijā sniegto informāciju, 7. punktā paredzēto grozījumu mērķis ir novērst Regulas prasību dublēšanu, bet citētajā anotācijas daļā tiek minēts, ka attiecīgā prasība nemaz nav noteikta regulā. Attiecīgi sniegtais skaidrojums nav viennozīmīgi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b w:val="1"/>
                <w:rtl w:val="0"/>
              </w:rPr>
              <w:t xml:space="preserve"> </w:t>
            </w:r>
            <w:r w:rsidR="00000000" w:rsidRPr="00000000" w:rsidDel="00000000">
              <w:rPr>
                <w:rtl w:val="0"/>
              </w:rPr>
              <w:t xml:space="preserve">laboto teksta daļu: "Projektā paredzēts precizēt programmas 6.punktu „Tetovēšanai un pīrsingam izmantojamie materiāli un to drošības prasības”, </w:t>
            </w:r>
            <w:r w:rsidR="00000000" w:rsidRPr="00000000" w:rsidDel="00000000">
              <w:rPr>
                <w:u w:val="single"/>
                <w:rtl w:val="0"/>
              </w:rPr>
              <w:t xml:space="preserve">papildinot ar atsauci uz Regulu 2020/2081, ar kuru groza Regulas 1907/2006 XVII pielikumu</w:t>
            </w:r>
            <w:r w:rsidR="00000000" w:rsidRPr="00000000" w:rsidDel="00000000">
              <w:rPr>
                <w:rtl w:val="0"/>
              </w:rPr>
              <w:t xml:space="preserve"> [..]" norādot, ka pielikums tiek papildināts ar atsauci uz Eiropas Parlamenta un Padomes 2006. gada 18. decembra </w:t>
            </w:r>
            <w:r w:rsidR="00000000" w:rsidRPr="00000000" w:rsidDel="00000000">
              <w:rPr>
                <w:u w:val="single"/>
                <w:rtl w:val="0"/>
              </w:rPr>
              <w:t xml:space="preserve">Regulu (EK) Nr. 1907/2006</w:t>
            </w:r>
            <w:r w:rsidR="00000000" w:rsidRPr="00000000" w:rsidDel="00000000">
              <w:rPr>
                <w:rtl w:val="0"/>
              </w:rPr>
              <w:t xml:space="preserve">, kas attiecas uz ķimikāliju reģistrēšanu, vērtēšanu, licencēšanu un ierobežošanu ( REACH ), un ar kuru izveido Eiropas Ķimikāliju aģentūru, groza Direktīvu 1999/45/EK un atceļ Padomes Regulu (EEK) Nr. 793/93 un Komisijas Regulu (EK) Nr. 1488/94, kā arī Padomes Direktīvu 76/769/EEK un Komisijas Direktīvu 91/155/EEK, Direktīvu 93/67/EEK, Direktīvu 93/105/EK un Direktīvu 2000/21/EK.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precizēt apzīmējumu "regula", jo nav pilnībā skaidrs, uz kuru no anotācijā minētajiem Eiropas Savienības tiesību aktiem konkrētā norāde ir attiecināta. Atbilstoši juridiskās tehnikas prasībām iesakām lietot anotācijā pieteiktos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apakšpunkta trešā risinājuma aprakstu, ņemot vērā, ka visas tajā uzskaitītās prasības un informācija ir noteikta ar Regulu 2020/2081 ar kuru groza Regulu 1907/2006, nevis Regulā 1907/2006. Tādā veidā tiks nodrošināta korekta projekta 3.-9. punkta tiesiskā pamata izpratne.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formulējumu "un/vai"  aizstāt ar saikli "un" vai saikli "vai". Norādām, ka saiklis „un” ir kumulatīvs nosacījums, kura lietošanas gadījumā ir jāiestājas visiem noteikumu projektā minētajiem priekšnosacījumiem. Savukārt saiklis „vai” ir alternatīvs nosacījums, kura lietošana nosaka tikai viena priekšnosacījuma iestāšanās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anotācijā konkretizēt arī tādus formulējumus, kā piemēram: "(5. pielikums)", "(1.A, 1.B vai 2. kategorija)", "(1. kategorija)" u.tml., nolūkā nodrošināt pilnīgu, skaidru un konkrētu ietverto atsauču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nepieteikto saīsinājumu "Regula", "ES", "Komisijas regulu (ES) 2020/2081", "Regulas Nr. 1223/2009", "Regulu (EK) Nr. 1272/2008", tāpat norādām, ka divas reizes tiek pieteikts saīsinājums "tetovēšana".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apakšpunkta sestās problēmas apraksta pirmo rindkopu, kur šķietami atkārtojas anotācijas 1.3. apakšpunkta pašreizējās situācijas ceturtās rindkopas teksts. Tāpat lūdzam precizēt anotācijas 1.3. apakšpunktu ar skaidrojumu arī par projekta 12. punktu, nolūkā pilnvērtīgi atspoguļot projekta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6. punktā iesakām pārskatīt atsauci uz drošības prasībām, kas ievērojamas atbilstoši Regulas1907/2006 XVII pielikumā noteiktajiem ierobežojumiem, ņemot vērā, ka ar Regulu 2020/2081 tika veikti grozījumi Regulas 1907/2006 XVII pielikumā un šķietami atsauce būtu norādāma uz Regulu 2020/2081 attiecīgi lūdzam veikt nepieciešamos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pielikuma 6.1. apakšpunkta formulējumu lūdzam pārskatīt un nepieciešamības gadījumā precizēt, ņemot vērā, ka tā uzskaitījumā nav iekļautas, piemēram, anotācijā minētie cilmes šūnu mutagēni vai tetovēšanas līdzekļos aizliegtās krāsvielas. Attiecīgi iesakām pārliecināties vai apmācību saturā ietvertas visas būtiskās tēmas, nolūkā nodrošināt kvalitatīvu, pilnīgu apmācību programmas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apmācību programmas detalizētāku satura izstrādi, atstājot to pasniedzēju ziņā, kas savukārt nodarbības pasniedzējam ļauj strukturēt mācību vielu atbilstoši tās nozīmībai un aktualitātēm. Programmas 6.punkts tiek tikai papildināts ar norādi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 Regulas1907/2006 17.pielikuma 75.punktu, kurā minētais jāiekļauj apmācībās. Balstoties uz apsvērumu, ka tā ir pamata regula un, pamatojoties uz jaunākajām zinātniskajām atziņām, jautājumi attiecībā uz tetovēšanas tintēm var tikt atkārtoti pārskatīti, lai katru reizi nebūtu jāmaina atsauce, norādot regulas,ar kurām tiek grozīts Regulas1907/2006 17.pielikuma 75.punkts, tiek norādīta atsauce tikai uz Regulu1907/2006.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22-TA-3110</w:t>
    </w:r>
    <w:r>
      <w:br/>
    </w:r>
    <w:r w:rsidR="00000000" w:rsidRPr="00000000" w:rsidDel="00000000">
      <w:rPr>
        <w:rtl w:val="0"/>
      </w:rPr>
      <w:t xml:space="preserve">12.01.2024. 09.33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22-TA-3110</w:t>
    </w:r>
    <w:r>
      <w:br/>
    </w:r>
    <w:r w:rsidR="00000000" w:rsidRPr="00000000" w:rsidDel="00000000">
      <w:rPr>
        <w:rtl w:val="0"/>
      </w:rPr>
      <w:t xml:space="preserve">12.01.2024. 09.33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Izziņa_22-TA-3110.docx</dc:title>
</cp:coreProperties>
</file>

<file path=docProps/custom.xml><?xml version="1.0" encoding="utf-8"?>
<Properties xmlns="http://schemas.openxmlformats.org/officeDocument/2006/custom-properties" xmlns:vt="http://schemas.openxmlformats.org/officeDocument/2006/docPropsVTypes"/>
</file>