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23-TA-2512: Tiesā iesniedzamā dokumenta projekts (Paskaidrojums, atbilde uz info. pieprasījumu, pilnvara u.c.)</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apstrīdētais Ministru kabineta 2020. gada 2. septembra noteikumu Nr. 560 „Noteikumi par elektroenerģijas ražošanu, izmantojot atjaunojamos energoresursus, kā arī par cenu noteikšanas kārtību un uzraudzību” 60.2. apakšpunkts (redakcijā, kas bija spēkā līdz 2022. gada 31. martam) saistīts ar nelikumīga un nesaderīga, tai skaitā nepamatoti izlietota, komercdarbības atbalsta atgūšanu, aicinām atbildes rakstu saskaņot arī ar Finanšu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Iesniedzot precizēto Ministru kabineta atbildes raksta projektu, tiks nosūtīts arī Finanšu ministrijai.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2.punktā norādīts, ka “</w:t>
            </w:r>
            <w:r w:rsidR="00000000" w:rsidRPr="00000000" w:rsidDel="00000000">
              <w:rPr>
                <w:i w:val="1"/>
                <w:rtl w:val="0"/>
              </w:rPr>
              <w:t xml:space="preserve">striktus ierobežojumus atbalsta nosacījumos paredz arī Eiropas Komisijas 2017. gada 24. aprīļa lēmums valsts atbalsta lietā Nr. SA.43140 (2015/NN) [..]</w:t>
            </w:r>
            <w:r w:rsidR="00000000" w:rsidRPr="00000000" w:rsidDel="00000000">
              <w:rPr>
                <w:rtl w:val="0"/>
              </w:rPr>
              <w:t xml:space="preserve">”. Lūdzam izvērstāk skaidrot minētā Eiropas Komisijas lēmuma nosacījumu sasaisti ar apstrīdētājās normās noteikto ierobežojumu un to, kā šis lēmums pamato apstrīdētajās normās noteiktā ierobežojumu samērīgumu. Šobrīd atbildes rakstā tiek vienkārši sniegta atsauce uz lēmumu un izteikts vispārīgs secinājums, tomēr no atbildes raksta un lēmuma (ņemot vērā arī lēmuma apjomu) nav viennozīmīgi skaidrs, kā lēmums pamato apstrīdētās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papildināts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pamatot tiesību ierobežojuma samērīgumu, jo šobrīd atbildes raksta 6.3.punktā ir izdarīts vienkārši secinājums, ka tiek sabalansētas abu pušu intereses, un atkārtoti norādīts, kāds nedrīkst būt valsts atbalsts un ko Ministru kabinets ir izdarījis.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papildināts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atbildes rakstā sniegtais skaidrojums par ierobežojuma nepieciešamību, nav līdz galam saprotams. Tiek norādīts, ka ir iespējams piemērot brīdinājumu komersantam par gada pārskata neiesniegšanu termiņā, taču uzraudzības iestādei nebija tiesību pārkāpt tai noteiktās pilnvaras. Lūdzam precizēt, vai brīdinājumu bija iespējams piemērot apstrīdēto normu piemērošanas brīdī, vai arī ministrija to ir konstatējusi, gatavojot šo atbildes rakstu. Aicinām atbildes rakstu papildināt ar skaidrojumu, kāpēc nebija iespējams piemērot brīdinājumu, ņemot vērā, ka likumā ir noteikts, ka "elektroenerģijas ražotājam ir pienākums pierādīt līdz tiesisku pierādījumu ticamības pakāpei, ka tas, saņemot valsts atbalstu, ir ievērojis normatīvajos aktos noteiktās prasības atbalsta saņemšanai". Proti, likumā tātad ir paredzēts, ka notiek pierādījumu iesniegšana, kas, iespējams, nozīmē to, ka šādi pierādījumi tiek ņemti vērā, pieņemot lēmumu atmaksāt saņemto valsts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norādīt, vai ir vērtēti un vai nepastāv citi veidi, kā nodrošināt leģitīmā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papildināts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izvērstāk skaidrot apstrīdēto normu piemērotību leģitīmā mērķa sasniegšanā. Šobrīd atbildes rakstā tiek vienkārši citētas deleģējošās normas un izteikti vispārīgi secinājumi.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papildināts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 Satversmes 116.pantā minēto leģitīmo mērķi, kura sasniegšanai apstrīdētās normas tika pieņemtas.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papildināts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4.punktā norādīts uz deleģējošo normu - Elektroenerģijas tirgus likuma 31.</w:t>
            </w:r>
            <w:r w:rsidR="00000000" w:rsidRPr="00000000" w:rsidDel="00000000">
              <w:rPr>
                <w:vertAlign w:val="superscript"/>
                <w:rtl w:val="0"/>
              </w:rPr>
              <w:t xml:space="preserve">2</w:t>
            </w:r>
            <w:r w:rsidR="00000000" w:rsidRPr="00000000" w:rsidDel="00000000">
              <w:rPr>
                <w:rtl w:val="0"/>
              </w:rPr>
              <w:t xml:space="preserve"> panta trešo daļu, kas nosaka, ka pārkāpumus, par kuriem atceļamas saskaņā ar šā likuma 28., 28.1, 29. vai 30. pantu piešķirtās tiesības uz valsts atbalstu, kā arī kārtību, kādā tās atceļamas,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arī Elektroenerģijas tirgus likuma 31.</w:t>
            </w:r>
            <w:r w:rsidR="00000000" w:rsidRPr="00000000" w:rsidDel="00000000">
              <w:rPr>
                <w:vertAlign w:val="superscript"/>
                <w:rtl w:val="0"/>
              </w:rPr>
              <w:t xml:space="preserve">2</w:t>
            </w:r>
            <w:r w:rsidR="00000000" w:rsidRPr="00000000" w:rsidDel="00000000">
              <w:rPr>
                <w:rtl w:val="0"/>
              </w:rPr>
              <w:t xml:space="preserve"> panta trešās daļas otrā un trešā teikuma tvērumu un attiecināmību uz apstrīdētajām normām. Proti, kā šis regulējums tika ņemts vērā, piemērojot apstrīdētās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papildināts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atbildes rakstā analizēt Satversmes 105.panta tvērumu sasaistē ar apstrīdētajām normām. Piemēram, šobrīd atbildes rakstā nav skaidrots, vai un kā tiek ierobežotas pieteicēja 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papildināts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2.punktā norādīts, ka valsts atbalsts nedrīkst būt konkurenci kropļojošs, neierobežots laikā, pārmērīgs un ekonomiski nepamatots. Lūgums šīs prasības konkrēti sasaistīt ar apstrīdētajām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Atbildes rakstā ir norādīts, ka "Ņemot vērā, ka likumdevējs nebija devis Ministru kabinetam deleģējumu pārskatīt atbalsta saņēmēju uzraudzības mehānismu līdz stājās spēkā Ministru kabineta 2022. gada 8. marta noteikumi Nr. 177 “Grozījumi Ministru kabineta 2020. gada 2. septembra noteikumos Nr. 560 “Noteikumi par elektroenerģijas ražošanu, izmantojot atjaunojamos energoresursus, kā arī par cenu noteikšanas kārtību un uzraudzību””, uzraudzības iestādei nebija tiesības pārkāpt tai noteiktās pilnvaras." Vēršam uzmanību, ka likumdevējs normatīvajos aktos ietver deleģējumu izdot normatīvos aktus. Savukārt pienākums īstenot deleģējumā ietverto pilnvarojumu, kā arī pārskatīt izveidotās sistēmas efektivitāti ir Ministru kabinetam nevis likumdevējam. Turklāt arī iepriekš ir pastāvējusi tiesību norma, kas paredzēja, ka tiek atceltas tiesības pārdot elektroenerģiju obligātā iepirkuma ietvaros, ja komersants neiesniedz gada pārskatu. Ņemot vērā minēto, aicinām pārskatīt minēto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esošais regulējums paredz brīdinājuma nosūtīšanu komersantam, aicinām papildināt projektu, ar skaidrojumu, kādēļ tāds tika pieņemts. Ja šāds regulējums tika pieņemts tiesību aktu pilnveides procesā aicinām norādīt, ka komersants darbojās regulētā nozarē un viņš zināja vai viņam bija jāzina par normatīvajos aktos ietvertajām prasībām. Savukārt tiesiskā regulējuma pilnveide paredzot brīdinājuma nosūtīšanu paša par sevi nav uzskatāma par tādām izmaiņām, kas būtiski ietekmē komersanta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projekts ir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raksta 6.punktā divreiz tiek atkārtots teksts, ko Satversmes tiesa pārbauda, izvērtējot pamattiesību ierobežojuma samērīgumu. Lūdzam šo informāciju nedublēt.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atbildes raksta projekta 6. punktā novērsta informācijas dublēšanās.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23-TA-2512</w:t>
    </w:r>
    <w:r>
      <w:br/>
    </w:r>
    <w:r w:rsidR="00000000" w:rsidRPr="00000000" w:rsidDel="00000000">
      <w:rPr>
        <w:rtl w:val="0"/>
      </w:rPr>
      <w:t xml:space="preserve">18.10.2023. 13.31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23-TA-2512</w:t>
    </w:r>
    <w:r>
      <w:br/>
    </w:r>
    <w:r w:rsidR="00000000" w:rsidRPr="00000000" w:rsidDel="00000000">
      <w:rPr>
        <w:rtl w:val="0"/>
      </w:rPr>
      <w:t xml:space="preserve">18.10.2023. 13.31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Izziņa_23-TA-2512.docx</dc:title>
</cp:coreProperties>
</file>

<file path=docProps/custom.xml><?xml version="1.0" encoding="utf-8"?>
<Properties xmlns="http://schemas.openxmlformats.org/officeDocument/2006/custom-properties" xmlns:vt="http://schemas.openxmlformats.org/officeDocument/2006/docPropsVTypes"/>
</file>