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21. novembra noteikumos Nr. 948 "Noteikumi par gripas pretepidēmijas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(25.11.2021.)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ietverti pienākumi ārstniecības personām, lūdzu ietvert anotācijā informāciju par ietekmi uz minēto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2006. gada 21. novembra noteikumos Nr. 948 "Noteikumi par gripas pretepidēmijas pasākumiem" iekļautiem informācijas sniegšanas pienākumiem iepriekš nav veikts administratīvā sloga izvērtējums, lūdzu veikt noteikumu projektā iekļauto informācijas sniegšanas pienākumu vērtējumu un atbilstoši vērtējumam veikt administratīvo izmaksu monetāru novērtējumu, kas aizpildāms par fiziskām un juridiskām personām anotācijas 2. sadaļas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informācija par ārstniecības iestādēm(ģimenes ārstu praksēm) un ārstniecības personām (ambulatorās aprūpes māsām), kuras nosūta informāciju par gripu. Papildināta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visas noteikumu projekta izpildē iesaistītās institūcijas, ņemot vērā to, ka noteikumu projektā ietverti pienākumi Slimību profilakses un kontroles centram, kā arī Sabiedrībai ar ierobežotu atbildību "Rīgas Austrumu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Nacionālā mikrobioloģijas references laboratorija ir RAKUS daļa. Lai veicinātu visiem vienotu izpranti, precizēta noteikumu projekta redakcija unn attiecīgi papildināta anotācijas 7.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visas noteikumu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Monitoringā tiks iekļautas 29 vispārējās izglītības iestādes un 34 pirmsskolas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par nepieciešamību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 sadaļas 7.2. apakšpunktā ir norādīts, ka tiesību aktā iekļautās informācijas sniegšanas prasības neietekmē izglītības iestādes, turpretim, aprēķina skaidrojumā ir norādīta informācijas sniegšanas ietekme uz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proti to, ka tiesību aktā iekļautās informācijas sniegšanas prasības ietekmē izglītības iestādes, lūdzu veikt administratīvo izmaksu monetāru novērtējumu. Tā pat, vēršu uzmanību, ka noteikumu projektā informācijas sniegšanas pienākumi ir noteikti Slimību profilakses un kontroles centram un Sabiedrībai ar ierobežotu atbildību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tiesību aktā aizpildot administratīvo izmaksu monetāru novērtējumu nav nepieciešams norādīt administratīvo izmaksu finansēšanas avotu, jo mērķis administratīvā sloga izvērtēšanai un tā aprēķināšanai ir administratīvā sloga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lai korekti veiktu administratīvo izmaksu monetāru novērtējumu, ir nepieciešams iepazīties ar metodiku administratīvo izmaksu monetārā novērtējuma veikšanā, kas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administratīvo izmaksu monetāru novērtējumu, lūdzu, ņemt vērā kopējo laika patēriņu, kas nepieciešams informācijas iegūšanai, apkopošanai un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 Noteikumu Nr. 617 18.</w:t>
            </w:r>
            <w:r w:rsidR="00000000" w:rsidRPr="00000000" w:rsidDel="00000000">
              <w:rPr>
                <w:vertAlign w:val="superscript"/>
                <w:rtl w:val="0"/>
              </w:rPr>
              <w:t xml:space="preserve">2</w:t>
            </w:r>
            <w:r w:rsidR="00000000" w:rsidRPr="00000000" w:rsidDel="00000000">
              <w:rPr>
                <w:rtl w:val="0"/>
              </w:rPr>
              <w:t xml:space="preserve"> punkts nosaka, ka administratīvo izmaksu un atbilstības izmaksu aprēķina rezultātu iekļauj anotācijā gan izmaksu pieauguma, gan samazinājuma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Ministru kabineta 2006. gada 21. novembra noteikumiem Nr.948 "Noteikumi par gripas pretepidēmijas pasākumiem" iepriekš nav veikts administratīvo izmaksu monetārs novērtējums, lūdzu veikt tiesību aktā iekļauto informācijas sniegšanas pienākumu vērtējumu un atbilstoši vērtējumam veikt administratīvo izmaksu monetāru novērtējumu, kas aizpildāms par fiziskām un juridiskām personām anotācijas 2. sadaļas 2.3. apakšpunktā un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7.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projektā paredzēto pasākumu īstenošanu noteikumu projekta izpildē iesaistītās institūcijas nodrošinās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projektā paredzēto pasākumu īstenošanu noteikumu projekta izpildē iesaistītās institūcijas nodrošinās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24-TA-1672</w:t>
    </w:r>
    <w:r>
      <w:br/>
    </w:r>
    <w:r w:rsidR="00000000" w:rsidRPr="00000000" w:rsidDel="00000000">
      <w:rPr>
        <w:rtl w:val="0"/>
      </w:rPr>
      <w:t xml:space="preserve">20.01.2025. 12.41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24-TA-1672</w:t>
    </w:r>
    <w:r>
      <w:br/>
    </w:r>
    <w:r w:rsidR="00000000" w:rsidRPr="00000000" w:rsidDel="00000000">
      <w:rPr>
        <w:rtl w:val="0"/>
      </w:rPr>
      <w:t xml:space="preserve">20.01.2025. 12.41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Izziņa_24-TA-1672.docx</dc:title>
</cp:coreProperties>
</file>

<file path=docProps/custom.xml><?xml version="1.0" encoding="utf-8"?>
<Properties xmlns="http://schemas.openxmlformats.org/officeDocument/2006/custom-properties" xmlns:vt="http://schemas.openxmlformats.org/officeDocument/2006/docPropsVTypes"/>
</file>