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25-TA-1049: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Ilgtspējas informācijas atklāšanas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 panta otrajā daļā vārdu "vadības" ar vārdu "ilgtspējas".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novērtē veikto grozījumu, kas paredz tulkot tikai Konsolidēto ilgtspējas ziņojumu, tomēr LAA aicina paredzēt, ka meitas sabiedrības netulko arī konsolidēto ilgtspējas ziņojumu, izveidojot līdzīgu regulējumu kā LT, EE un pārējās Eiropas Savienības dalībvalstīs, kur nav jābūt tulkojumam.  Tas vēl vairāk nodrošinātu finansiālā un administratīvā sloga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mājas lapā tiek nodrošināta saite uz mātes sabiedrības attiecīgo ziņojumu, kur ir iekļauta Ilgtspējas informācijas atklāšanas likumā noteiktā informācija par meitas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pārrunāts ar atzinuma sniedzēju un panākta vienošanās, ka virzītie ierosinājumi šajā normā tiks vērtēti pie nākamajiem šā likuma grozījumiem, pārņemot direktīvas prasības saistībā ar Eiropas Komisijas vienkāršošanas pakotnē Omnibus virzītajiem grozījumiem ilgtspējas jomā. Nepieciešamas plašākas diskusijas ar iesaistītajām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 panta otrajā daļā vārdu "vadības" ar vārdu "ilgtspējas".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8. panta otrajā daļā vārdu "vadības" ar vārdu "ilgtspējas".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novērtē veikto grozījumu, kas paredz tulkot tikai Konsolidēto ilgtspējas ziņojumu, tomēr LAA aicina paredzēt, ka meitas sabiedrības netulko arī konsolidēto ilgtspējas ziņojumu, izveidojot līdzīgu regulējumu kā LT, EE un pārējās Eiropas Savienības dalībvalstīs, kur nav jābūt tulkojumam.  Tas vēl vairāk nodrošinātu finansiālā un administratīvā sloga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mājas lapā tiek nodrošināta saite uz mātes sabiedrības attiecīgo ziņojumu, kur ir iekļauta Ilgtspējas informācijas atklāšanas likumā noteiktā informācija par meitas sabiedrību.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pārrunāts ar atzinuma sniedzēju un panākta vienošanās, ka virzītie ierosinājumi šajā normā tiks vērtēti pie nākamajiem šā likuma grozījumiem, pārņemot direktīvas prasības saistībā ar Eiropas Komisijas vienkāršošanas pakotnē Omnibus virzītajiem grozījumiem ilgtspējas jomā. Nepieciešamas plašākas diskusijas ar iesaistītajām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8. panta otrajā daļā vārdu "vadības" ar vārdu "ilgtspējas".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spēkā stāšanās norādē paredzēts, ka likums stājas spēkā 2025. gada 31. decembrī. Lūdzam anotācijā pamatot minēto spēkā stāšanās termiņu, ņemot vērā, ka: 1) tikai likumprojekta 3. un 4. pants pārņem Eiropas Parlamenta un Padomes 2025. gada 14. aprīļa direktīvas (ES) 2025/794, ar ko groza Direktīvas (ES) 2022/2464 un (ES) 2024/1760 attiecībā uz datumiem, sākot no kuriem dalībvalstīm jāpiemēro noteiktas korporatīvo ilgtspējas ziņu sniegšanas un pienācīgas rūpības prasības (turpmāk - Direktīva 2025/794) prasības; 2) Direktīvas 2025/794 3. panta 1. punkts noteic, ka dalībvalstīs stājas spēkā normatīvie un administratīvie akti, kas vajadzīgi, lai izpildītu šīs direktīvas prasības </w:t>
            </w:r>
            <w:r w:rsidR="00000000" w:rsidRPr="00000000" w:rsidDel="00000000">
              <w:rPr>
                <w:u w:val="single"/>
                <w:rtl w:val="0"/>
              </w:rPr>
              <w:t xml:space="preserve">līdz 2025. gada 31. decembrim</w:t>
            </w:r>
            <w:r w:rsidR="00000000" w:rsidRPr="00000000" w:rsidDel="00000000">
              <w:rPr>
                <w:rtl w:val="0"/>
              </w:rPr>
              <w:t xml:space="preserve">. Direktīva neparedz, ka tās noteikumus piemēro no 2025. gada 31. decembra. Attiecīgi aicinām izvērtēt likuma spēkā stāšanās norādes nepieciešamību un precizēt likumprojektu vai anotācijas 1.2. apakšsadaļā ietverto spēkā stāšanās termiņa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anotācijas 1.2. apakšsadaļā ietvertais spēkā stāšanās termiņš, ņemot vērā, ka likumprojektā ietvertās prasības var stāties spēkā arī ātrāk par 2025. gada 31. 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"Ilgtspējas informācijas atklāšanas likums" anotācijas 5. sadaļā minēts: "</w:t>
            </w:r>
            <w:r w:rsidR="00000000" w:rsidRPr="00000000" w:rsidDel="00000000">
              <w:rPr>
                <w:i w:val="1"/>
                <w:rtl w:val="0"/>
              </w:rPr>
              <w:t xml:space="preserve">Latvija izvēlas ieviest ar Direktīvas 2022/2464/ES 1. pantu grozītās Direktīvas 2013/34/ES 19.a panta 9. punkta trešajā daļā un 29.a panta 8. punkta trešajā daļā paredzēto iespēju, ka meitas sabiedrība nodrošina, lai mātes sabiedrības sagatavotais konsolidētais vadības ziņojums ir publicēts tās tīmekļvietnē latviešu valodā</w:t>
            </w:r>
            <w:r w:rsidR="00000000" w:rsidRPr="00000000" w:rsidDel="00000000">
              <w:rPr>
                <w:rtl w:val="0"/>
              </w:rPr>
              <w:t xml:space="preserve">." Arī šī likumprojekta anotācijā ir norādīts uz attiecīgās dalībvalsts rīcības brīvības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likumprojekta 1. pantu paredzēts grozīt likuma 5. panta otrā daļa un ar likumprojekta 2. pantu paredzēts grozīt likuma 8. panta otrā daļa, lūdzam anotācijas 5.1. apakšsadaļā un 5.4. apakšsadaļas 1. tabulā sniegt informāciju par ar Eiropas Parlamenta un Padomes 2022. gada 14. decembra direktīvas (ES) 2022/2464, ar ko attiecībā uz korporatīvo ilgtspējas ziņu sniegšanu groza regulu (ES) Nr. 537/2014, direktīvu 2004/109/EK, direktīvu 2006/43/EK un direktīvu 2013/34/ES, 1. pantu grozītās Direktīvas 2013/34/ES 19.a panta 9. punkta trešajā daļā un 29.a panta 8. punkta trešajā daļā paredzētās dalībvalsts rīcības brīvības izmantošanu likumprojekta 1. un 2. pantā, skaidrojot arī rīcības brīvības izmantošanas vai neizmantošanas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arī lūdzam anotācijas 1.3. apakšsadaļā sniegt skaidrojumu par likumprojekta 1. un 2. panta atbilstību Valsts valodas likumam, ņemot vērā anotācijā norādīto, ka pašreizējais regulējums tika likumā ietverts "</w:t>
            </w:r>
            <w:r w:rsidR="00000000" w:rsidRPr="00000000" w:rsidDel="00000000">
              <w:rPr>
                <w:i w:val="1"/>
                <w:rtl w:val="0"/>
              </w:rPr>
              <w:t xml:space="preserve">atbilstoši Valsts valodas likuma 8. panta ceturtajā daļā noteiktajam, ka statistiskie pārskati, gada pārskati, grāmatvedības uzskaites dokumenti un citi dokumenti, kuri, pamatojoties uz likumu vai citu normatīvo aktu, iesniedzami valsts vai pašvaldību iestādēs, sastādāmi valsts valodā. Savukārt, Valsts valodas likuma 21. panta ceturtajā daļā noteikts, ka uzrakstos, izkārtnēs, afišās, plakātos, paziņojumos vai citos ziņojumos ietvertā informācija, ja tā skar likumīgas sabiedriskās intereses un paredzēta sabiedrības informēšanai sabiedrībai pieejamās vietās, sniedzama valsts valodā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arī anotācijas 5.4. apakšsadaļas 1. tabulā norādīt, kurās likumprojekta vienībās (proti, likumprojekta 1. un 2. pantā) ir pārņemts ar Direktīvas 2025/794 1. pantu grozītās Direktīvas 2022/2464 5. panta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5.1. un 5.4. 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un precizēts anotācijas  1.3. apakšsadaļā sniegtais skaidrojums par likumprojekta 1. un 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Ilgtspējas informācijas atklāšanas likumā ( Latvijas Vēstnesis, 2024, 193.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ieskatā ilgtspējas informācija ir specifiska un apjomīga, turklāt prasība to nodrošināt pieejamu valsts valodā nav samērīga ar šādas informācijas lietošanas regularitāti. Bez tam, ņemot vērā ziņojumā ietvertās informācijas apjomu, parastam informācijas lietotājam būs apgrūtinoši atrast sev interesējošo informāciju un datus par konkrētu finanšu tirgus dalībnieku. Mūsuprāt, ilgtspējas informācijas izmantošanā pamatā ir ieinteresētas personas, kuras darbojas akadēmiskajā un analītikas jomā, un kuras visdrīzāk pārzin starptautisko finanšu jomā lietoto valodu (angļu valodu), kādā ir sagatavoti konsolidētie ilgtspējas ziņojumi.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ar mērķi mazināt birokrātijas slogu, Latvijas Banka ierosina apsvērt iespēju tiesību akta projektā (likuma 5.panta otrajā daļā un 8.panta otrajā daļā) noteikt, ka meitas sabiedrības (vai mātes sabiedrības, kas ir arī meitas sabiedrības), savā tīmekļvietnē nodrošina mātes sabiedrības konsolidētā ilgtspējas ziņojuma īsu kopsavilkumu latviešu valodā, īpaši akcentējot informāciju par pašu meitas sabiedrību (vai mātes sabiedrību, kas ir arī meitas 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Virzītie ierosinājumi šajā normā tiks vērtēti pie nākamajiem šā likuma grozījumiem, pārņemot direktīvas prasības saistībā ar Eiropas Komisijas vienkāršošanas pakotnē Omnibus virzītajiem grozījumiem ilgtspējas jomā. Nepieciešamas plašākas diskusijas ar iesaistītajām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Ilgtspējas informācijas atklāšanas likumā ( Latvijas Vēstnesis, 2024, 193.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likumprojektu, kas ir nacionālais normatīvais akts, netiek un nevar tikt grozīta Eiropas Savienības direktīva, aicinām precizēt anotācijā ietverto skaidrojumu (piemēram: "</w:t>
            </w:r>
            <w:r w:rsidR="00000000" w:rsidRPr="00000000" w:rsidDel="00000000">
              <w:rPr>
                <w:i w:val="1"/>
                <w:rtl w:val="0"/>
              </w:rPr>
              <w:t xml:space="preserve">Saistībā ar Komisijas apņemšanos samazināt ziņošanas slogu un uzlabot konkurētspēju, ir nepieciešams ieviest mērķtiecīgus grozījumus Ilgtspējas ziņu sniegšanas direktīvā un Eiropas Parlamenta un Padomes 2024. gada 13. jūnija direktīvā (ES) 2024/1760 [..]</w:t>
            </w:r>
            <w:r w:rsidR="00000000" w:rsidRPr="00000000" w:rsidDel="00000000">
              <w:rPr>
                <w:rtl w:val="0"/>
              </w:rPr>
              <w:t xml:space="preserve">"). Papildus lūdzam anotācijā pašreizējās situācijas un problēmas aprakstā sniegt pamatojumu ne tikai likumprojekta 1. panta (likuma 5. panta otrās daļas grozījuma), bet arī likumprojekta 2. panta (likuma 8. panta otrās daļas grozījuma)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un precizēts anotācijas  1.3. apakšsadaļā sniegtais skaidrojums par likumprojekta 1. un 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25-TA-1049</w:t>
    </w:r>
    <w:r>
      <w:br/>
    </w:r>
    <w:r w:rsidR="00000000" w:rsidRPr="00000000" w:rsidDel="00000000">
      <w:rPr>
        <w:rtl w:val="0"/>
      </w:rPr>
      <w:t xml:space="preserve">22.07.2025. 08.23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25-TA-1049</w:t>
    </w:r>
    <w:r>
      <w:br/>
    </w:r>
    <w:r w:rsidR="00000000" w:rsidRPr="00000000" w:rsidDel="00000000">
      <w:rPr>
        <w:rtl w:val="0"/>
      </w:rPr>
      <w:t xml:space="preserve">22.07.2025. 08.23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Izziņa_25-TA-1049.docx</dc:title>
</cp:coreProperties>
</file>

<file path=docProps/custom.xml><?xml version="1.0" encoding="utf-8"?>
<Properties xmlns="http://schemas.openxmlformats.org/officeDocument/2006/custom-properties" xmlns:vt="http://schemas.openxmlformats.org/officeDocument/2006/docPropsVTypes"/>
</file>