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(06.09.2024.)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r w:rsidR="00000000" w:rsidRPr="00000000" w:rsidDel="00000000">
              <w:rPr>
                <w:vertAlign w:val="superscript"/>
                <w:rtl w:val="0"/>
              </w:rPr>
              <w:t xml:space="preserve">1</w:t>
            </w:r>
            <w:r w:rsidR="00000000" w:rsidRPr="00000000" w:rsidDel="00000000">
              <w:rPr>
                <w:rtl w:val="0"/>
              </w:rPr>
              <w:t xml:space="preserve"> atbilst nozarēm vai darbībām, kas noteiktas Komisijas regulas Nr. 1408/2013 1. panta 1. punktā, ja atbalstu piešķir saskaņā ar Komisijas regulu Nr. 1408/2013;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17.2.</w:t>
            </w:r>
            <w:r w:rsidR="00000000" w:rsidRPr="00000000" w:rsidDel="00000000">
              <w:rPr>
                <w:vertAlign w:val="superscript"/>
                <w:rtl w:val="0"/>
              </w:rPr>
              <w:t xml:space="preserve">1</w:t>
            </w:r>
            <w:r w:rsidR="00000000" w:rsidRPr="00000000" w:rsidDel="00000000">
              <w:rPr>
                <w:rtl w:val="0"/>
              </w:rPr>
              <w:t xml:space="preserve"> apakšpunktā "nozarēm", jo saskaņā ar Komisijas regulu Nr. 1408/2013 1. panta 1. punktā minēta atbalstāmā nozare un neatbalstāmās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 svītrojot vārdu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r w:rsidR="00000000" w:rsidRPr="00000000" w:rsidDel="00000000">
              <w:rPr>
                <w:vertAlign w:val="superscript"/>
                <w:rtl w:val="0"/>
              </w:rPr>
              <w:t xml:space="preserve">1</w:t>
            </w:r>
            <w:r w:rsidR="00000000" w:rsidRPr="00000000" w:rsidDel="00000000">
              <w:rPr>
                <w:rtl w:val="0"/>
              </w:rPr>
              <w:t xml:space="preserve"> atbilst darbībām, kas noteiktas Komisijas regulas Nr. 1408/2013 1. panta 1. punktā, ja atbalstu piešķir saskaņā ar Komisijas regulu Nr. 1408/2013;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r w:rsidR="00000000" w:rsidRPr="00000000" w:rsidDel="00000000">
              <w:rPr>
                <w:vertAlign w:val="superscript"/>
                <w:rtl w:val="0"/>
              </w:rPr>
              <w:t xml:space="preserve">2</w:t>
            </w:r>
            <w:r w:rsidR="00000000" w:rsidRPr="00000000" w:rsidDel="00000000">
              <w:rPr>
                <w:rtl w:val="0"/>
              </w:rPr>
              <w:t xml:space="preserve"> atbilst nozarēm vai darbībām, kas noteiktas Komisijas regulas Nr. 717/2014 1. panta 1. punktā, ja atbalstu piešķir saskaņā ar Komisijas regulu Nr. 717/2014;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17.2.</w:t>
            </w:r>
            <w:r w:rsidR="00000000" w:rsidRPr="00000000" w:rsidDel="00000000">
              <w:rPr>
                <w:vertAlign w:val="superscript"/>
                <w:rtl w:val="0"/>
              </w:rPr>
              <w:t xml:space="preserve">2</w:t>
            </w:r>
            <w:r w:rsidR="00000000" w:rsidRPr="00000000" w:rsidDel="00000000">
              <w:rPr>
                <w:rtl w:val="0"/>
              </w:rPr>
              <w:t xml:space="preserve"> apakšpunktā "nozarēm", jo saskaņā ar Komisijas regulu Nr. 717/2014 1. panta 1. punktā minēta atbalstāmā nozare un neatbalstāmās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 svītrojot vārdu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r w:rsidR="00000000" w:rsidRPr="00000000" w:rsidDel="00000000">
              <w:rPr>
                <w:vertAlign w:val="superscript"/>
                <w:rtl w:val="0"/>
              </w:rPr>
              <w:t xml:space="preserve">2</w:t>
            </w:r>
            <w:r w:rsidR="00000000" w:rsidRPr="00000000" w:rsidDel="00000000">
              <w:rPr>
                <w:rtl w:val="0"/>
              </w:rPr>
              <w:t xml:space="preserve"> atbilst darbībām, kas noteiktas Komisijas regulas Nr. 717/2014 1. panta 1. punktā, ja atbalstu piešķir saskaņā ar Komisijas regulu Nr. 717/2014;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Atbalsts netiek piešķirts projekta iesniedzējam, kurš vienlaikus darbojas nozarē vai veic darbības, kas minētas šo noteikumu 17.2., 17.2.</w:t>
            </w:r>
            <w:r w:rsidR="00000000" w:rsidRPr="00000000" w:rsidDel="00000000">
              <w:rPr>
                <w:vertAlign w:val="superscript"/>
                <w:rtl w:val="0"/>
              </w:rPr>
              <w:t xml:space="preserve">1</w:t>
            </w:r>
            <w:r w:rsidR="00000000" w:rsidRPr="00000000" w:rsidDel="00000000">
              <w:rPr>
                <w:rtl w:val="0"/>
              </w:rPr>
              <w:t xml:space="preserve"> un 17.2.</w:t>
            </w:r>
            <w:r w:rsidR="00000000" w:rsidRPr="00000000" w:rsidDel="00000000">
              <w:rPr>
                <w:vertAlign w:val="superscript"/>
                <w:rtl w:val="0"/>
              </w:rPr>
              <w:t xml:space="preserve">2</w:t>
            </w:r>
            <w:r w:rsidR="00000000" w:rsidRPr="00000000" w:rsidDel="00000000">
              <w:rPr>
                <w:rtl w:val="0"/>
              </w:rPr>
              <w:t xml:space="preserve">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18. punkts ir pretrunā noteikumu 13. punktam, jo ar šo, no atbalsta saņēmēju loka tiek izslēgti primārās lauksaimniecības produkcijas ražotāji, kā arī zvejniecībā un akvakultūras nozarēs primārās produkcijas ražotāji. Noteikumu 17.2. apakšpunktā noteikts, ka saskaņā ar Komisijas regulas Nr.  2023/2831 1. panta 1. punktā noteikto atbalstu nevar piešķirt primārās lauksaimniecības produkcijas ražotājiem, kā arī zvejniecībā un akvakultūras nozarēs primārās produkcijas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izsakot noteikumu 18. punktu jaunā redakcijā, izdalot katru de minimis atbalsta piešķiršanas kārtību pret attiecīgo neatbalstāmo darbību vai nozari, kas noteikta noteikumu 17. punktā. Proti, atkarībā no tā, pēc kuras de minimis regulas piešķir atbalstu, attiecīgi pret konkrēto 17. punkta apakšpunktu jāievēro nosacījums, ka nedrīkst vienlaikus veikt attiecīgās de minimis regulas 1. panta 1. punktā minētās darbības vai darboties neatbalstāmajā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Atbalsts netiek piešķirts projekta iesniedzējam, kurš: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Atbalsts netiek piešķirts projekta iesniedzējam, kurš vienlaikus darbojas nozarē vai veic darbības, kas minētas šo noteikumu 17.2., 17.2.</w:t>
            </w:r>
            <w:r w:rsidR="00000000" w:rsidRPr="00000000" w:rsidDel="00000000">
              <w:rPr>
                <w:vertAlign w:val="superscript"/>
                <w:rtl w:val="0"/>
              </w:rPr>
              <w:t xml:space="preserve">1</w:t>
            </w:r>
            <w:r w:rsidR="00000000" w:rsidRPr="00000000" w:rsidDel="00000000">
              <w:rPr>
                <w:rtl w:val="0"/>
              </w:rPr>
              <w:t xml:space="preserve"> un 17.2.</w:t>
            </w:r>
            <w:r w:rsidR="00000000" w:rsidRPr="00000000" w:rsidDel="00000000">
              <w:rPr>
                <w:vertAlign w:val="superscript"/>
                <w:rtl w:val="0"/>
              </w:rPr>
              <w:t xml:space="preserve">2</w:t>
            </w:r>
            <w:r w:rsidR="00000000" w:rsidRPr="00000000" w:rsidDel="00000000">
              <w:rPr>
                <w:rtl w:val="0"/>
              </w:rPr>
              <w:t xml:space="preserve">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atbalsta pretendents vienlaikus darbojas vienā vai vairākās Komisijas 2023. gada 13. decembra Regulas (ES) Nr. 2023/2831 par Līguma par Eiropas Savienības darbību 107. un 108. panta piemērošanu de minimis atbalstam (Eiropas Savienības Oficiālais Vēstnesis, 2023. gada 13. decembris, Nr. L 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Komisijas regulu Nr. 1408/2013 vai Komisijas regulu Nr. 717/2014. Attiecīgi tas attiecināms arī uz atbalstu, ko sniedz saskaņā ar Komisijas regulu Nr. 1408/2013 vai Komisijas regulu Nr. 717/2014. Ņemot vērā, ka šobrīd noteikumu 18.punkts pēc būtības paredz prasību, kas jāievēro visos gadījumos, tādējādi ietverot pretrunu, lūdzam precizēt punktu, nodrošinot, ka gadījumos, kad atbalstu piešķir ar Komisijas regulu Nr.2023/2831, ievēro 17.2. apakšpunktu, kad ar Komisijas regulu Nr. 1408/2013 vai Komisijas regulu Nr. 717/2014, attiecīgi - 17.2.1 vai 17.2.2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izsakot noteikumu 18. punktu jaunā redakcijā, izdalot katru de minimis atbalsta piešķiršanas kārtību pret attiecīgo neatbalstāmo darbību vai nozari, kas noteikta noteikumu 17. punktā. Proti, atkarībā no tā, pēc kuras de minimis regulas piešķir atbalstu, attiecīgi pret konkrēto 17. punkta apakšpunktu jāievēro nosacījums, ka nedrīkst vienlaikus veikt attiecīgās de minimis regulas 1. panta 1. punktā minētās darbības vai darboties neatbalstāmajā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Atbalsts netiek piešķirts projekta iesniedzējam, kurš: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noteikumus ar nosacījumu, ka atbalsta sniedzējs pirms </w:t>
            </w:r>
            <w:r w:rsidR="00000000" w:rsidRPr="00000000" w:rsidDel="00000000">
              <w:rPr>
                <w:i w:val="1"/>
                <w:rtl w:val="0"/>
              </w:rPr>
              <w:t xml:space="preserve">de minimis</w:t>
            </w:r>
            <w:r w:rsidR="00000000" w:rsidRPr="00000000" w:rsidDel="00000000">
              <w:rPr>
                <w:rtl w:val="0"/>
              </w:rPr>
              <w:t xml:space="preserve"> atbalsta piešķiršanas izvērtē atbalsta pretendenta atbilstību atbalsta piešķiršanas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punkts paredz, ka komersantam ir jāatbilst attiecīgās </w:t>
            </w:r>
            <w:r w:rsidR="00000000" w:rsidRPr="00000000" w:rsidDel="00000000">
              <w:rPr>
                <w:i w:val="1"/>
                <w:rtl w:val="0"/>
              </w:rPr>
              <w:t xml:space="preserve">de minimis</w:t>
            </w:r>
            <w:r w:rsidR="00000000" w:rsidRPr="00000000" w:rsidDel="00000000">
              <w:rPr>
                <w:rtl w:val="0"/>
              </w:rPr>
              <w:t xml:space="preserve"> regulas prasībām, lai piešķirtu atbalstu. Savukārt Noteikumu projekta 35. punkta noteic, ka piešķirot atbalstu, prims atbalsta piešķiršanas atbalsta sniedzējs pārbauda attiecīgās </w:t>
            </w:r>
            <w:r w:rsidR="00000000" w:rsidRPr="00000000" w:rsidDel="00000000">
              <w:rPr>
                <w:i w:val="1"/>
                <w:rtl w:val="0"/>
              </w:rPr>
              <w:t xml:space="preserve">de minimis  </w:t>
            </w:r>
            <w:r w:rsidR="00000000" w:rsidRPr="00000000" w:rsidDel="00000000">
              <w:rPr>
                <w:rtl w:val="0"/>
              </w:rPr>
              <w:t xml:space="preserve">prasības. Atkarībā no tā, pēc kuras </w:t>
            </w:r>
            <w:r w:rsidR="00000000" w:rsidRPr="00000000" w:rsidDel="00000000">
              <w:rPr>
                <w:i w:val="1"/>
                <w:rtl w:val="0"/>
              </w:rPr>
              <w:t xml:space="preserve">de minimis </w:t>
            </w:r>
            <w:r w:rsidR="00000000" w:rsidRPr="00000000" w:rsidDel="00000000">
              <w:rPr>
                <w:rtl w:val="0"/>
              </w:rPr>
              <w:t xml:space="preserve">regulas tiek piešķirts atbalsts, pārbaudā konkrētajā 35. punkta apakšpunktā minēto prasību atbilstību, pirms tiek piešķirts atbalsts. Noteikumu projekta 31. punkts nosaka dienu, kas ir uzskatāma par atbalsta piešķiršanas dienu, t.i., kad apstiprina projekta iesniegumu. Ņemot vērā, ka Noteikumu projekta 34. un 35. punkts paredz, ka atbalsta sniedzējs pirms </w:t>
            </w:r>
            <w:r w:rsidR="00000000" w:rsidRPr="00000000" w:rsidDel="00000000">
              <w:rPr>
                <w:i w:val="1"/>
                <w:rtl w:val="0"/>
              </w:rPr>
              <w:t xml:space="preserve">de minimis</w:t>
            </w:r>
            <w:r w:rsidR="00000000" w:rsidRPr="00000000" w:rsidDel="00000000">
              <w:rPr>
                <w:rtl w:val="0"/>
              </w:rPr>
              <w:t xml:space="preserve"> atbalsta piešķiršanas izvērtē atbalsta pretendenta atbilstību atbalsta piešķiršanas brīdī, tad precizējumi ir veikti Noteikumu projekta 35. punktā, nevis 31.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 Atbalstu finansējuma saņēmējam izmaksā pēc sekmīgas akciju vai parāda vērtspapīru iekļaušanas tirdzniecības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Atbalstu, kas sniegts šo noteikumu ietvaros saskaņā ar Komisijas regulu Nr. 2023/2831, Komisijas regulu Nr. 717/2014 vai Komisijas regulu Nr. 1408/2013, nevar apvienot ar atbalstu par vienām un tām pašām attiecināmajām izmaksām, kas sniegts citā valsts atbalsta programmā vai individuālajā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nosacījumu par </w:t>
            </w:r>
            <w:r w:rsidR="00000000" w:rsidRPr="00000000" w:rsidDel="00000000">
              <w:rPr>
                <w:i w:val="1"/>
                <w:rtl w:val="0"/>
              </w:rPr>
              <w:t xml:space="preserve">de minimis</w:t>
            </w:r>
            <w:r w:rsidR="00000000" w:rsidRPr="00000000" w:rsidDel="00000000">
              <w:rPr>
                <w:rtl w:val="0"/>
              </w:rPr>
              <w:t xml:space="preserve"> regulu kumulāciju, ja atbalsta saņēmējam atbalsts piešķirts saskaņā ar regulas 2023/2831, vai Komisijas regulas 1408/2013 vai 717/2014 nosacījumiem, atbalsta saņēmējam atbalstu piešķir atbilstoši Komisijas regulas Nr. 1408/2013 3. panta 3.a punktā un 5.panta 1. un 2. punktā vai Komisijas regulas Nr. 717/2014 3.panta 2.a punktā un 5.panta 1. un 2. punktā noteiktajai viena vienota uzņēmuma maksimālajai atbalsta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papildinot 35. punktu ar </w:t>
            </w:r>
            <w:r w:rsidR="00000000" w:rsidRPr="00000000" w:rsidDel="00000000">
              <w:rPr>
                <w:i w:val="1"/>
                <w:rtl w:val="0"/>
              </w:rPr>
              <w:t xml:space="preserve">de minimis </w:t>
            </w:r>
            <w:r w:rsidR="00000000" w:rsidRPr="00000000" w:rsidDel="00000000">
              <w:rPr>
                <w:rtl w:val="0"/>
              </w:rPr>
              <w:t xml:space="preserve">regulu kumulāciju, attiecīgi, pirms atbalsta piešķiršanas saskaņā ar Noteikumu projekta 35.2.1. un 35.2.2. apakšpunktu, pārbauda komersanta atbilstību Komisijas regulas Nr. 1408/2013 3. panta 3.a punktam, un 5.panta 1. un 2. punktm. Attiecībā par Komisijas regulas Nr. 717/2014 3.panta 2.a punktu un 5.panta 1. un 2. punktu saskaņā ar Noteikumu projekta 35.3.1. un 35.3.2. apakšpunktu, pirms atbalsta piešķiršanas atbalsta sniedzējs pārbauda iepriekš minēto prasību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Atbalstu, kas sniegts šo noteikumu ietvaros saskaņā ar Komisijas regulu Nr. 2023/2831, Komisijas regulu Nr. 717/2014 vai Komisijas regulu Nr. 1408/2013, nevar apvienot ar atbalstu par vienām un tām pašām attiecināmajām izmaksām, kas sniegts citā valsts atbalsta programmā vai individuālajā 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Piešķirot atbalstu, pirms atbalsta piešķiršanas atbalsta sniedzējs pārbauda, vai pretendentam plānotais de minimis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jāpapildina ar nosacījumu, ka atbalsta saņēmējiem, kuri nodarbojas ar lauksaimniecības produktu primāro ražošanu, un atbalstu piešķir kā </w:t>
            </w:r>
            <w:r w:rsidR="00000000" w:rsidRPr="00000000" w:rsidDel="00000000">
              <w:rPr>
                <w:i w:val="1"/>
                <w:rtl w:val="0"/>
              </w:rPr>
              <w:t xml:space="preserve">de minimis</w:t>
            </w:r>
            <w:r w:rsidR="00000000" w:rsidRPr="00000000" w:rsidDel="00000000">
              <w:rPr>
                <w:rtl w:val="0"/>
              </w:rPr>
              <w:t xml:space="preserve"> atbalstu, ievērojot Komisijas regulas Nr. 1408/2013 1. panta 2. un 3. punktu. Savukārt, atbalsta saņēmējiem, kuri nodarbojas ar zvejas un akvakultūras produktu primāro ražošanu, un atbalstu piešķir kā </w:t>
            </w:r>
            <w:r w:rsidR="00000000" w:rsidRPr="00000000" w:rsidDel="00000000">
              <w:rPr>
                <w:i w:val="1"/>
                <w:rtl w:val="0"/>
              </w:rPr>
              <w:t xml:space="preserve">de minimis</w:t>
            </w:r>
            <w:r w:rsidR="00000000" w:rsidRPr="00000000" w:rsidDel="00000000">
              <w:rPr>
                <w:rtl w:val="0"/>
              </w:rPr>
              <w:t xml:space="preserve"> atbalstu, ievērojot Komisijas regulas Nr. 717/2014 1. panta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Noteikumu projekta 35.2.1. apakšpunktā papildināts, ka, ja pretendents pretendē uz atbalstu saskaņā ar Komisijas regulu Nr. 1408/2013, tas nodrošinās darbību vai izmaksu nošķiršanu saskaņā ar Komisijas regulas Nr. 1408/2013 1. panta 2. un 3. punktu. Noteikumu projekta 35.3.1. apakšpunkts paredz, ja pretendents pretendē uz atbalstu saskaņā ar Komisijas regulu Nr. 717/2014, tas nodrošinās darbību vai izmaksu nošķiršanu saskaņā ar Komisijas regulas Nr. 717/2014 1. panta 2. un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Piešķirot atbalstu, pirms atbalsta piešķiršanas atbalsta sniedzējs pārbauda, vai pretendentam plānotais de minimis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kopā ar iepriekšējos trijos gados piešķirto atbalstu nepārsniedz Komisijas Regulas Nr. 1408/2013 3. panta 2. un 3. punktā noteikto maksimālo apmēru viena vienota uzņēmuma līmenī, ja pretendents pretendē uz atbalstu saskaņā ar Komisijas regulu Nr. 1408/2013. Viens vienots uzņēmums ir uzņēmums, kas atbilst Komisijas regulas Nr. 1408/2013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lai triju gadu laikā, skaitot no </w:t>
            </w:r>
            <w:r w:rsidR="00000000" w:rsidRPr="00000000" w:rsidDel="00000000">
              <w:rPr>
                <w:i w:val="1"/>
                <w:rtl w:val="0"/>
              </w:rPr>
              <w:t xml:space="preserve">de minimis</w:t>
            </w:r>
            <w:r w:rsidR="00000000" w:rsidRPr="00000000" w:rsidDel="00000000">
              <w:rPr>
                <w:rtl w:val="0"/>
              </w:rPr>
              <w:t xml:space="preserve"> atbalsta piešķiršanas dienas atbalsts nepārsniedz Komisijas Regulas Nr. 1408/2013 3. panta 2. un 3. punktā noteikto maksimālo apmēru viena vienota uzņēmuma līmenī, ja pretendents pretendē uz atbalstu saskaņā ar Komisijas regulu Nr. 1408/2013. Viens vienots uzņēmums ir uzņēmums, kas atbilst Komisijas regulas Nr. 1408/2013 2. panta 2.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35.2.2. apakšpunkts precizēts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ja pretendents pretendē uz atbalstu saskaņā ar Komisijas regulu Nr. 1408/2013, triju gadu laikā, skaitot no de minimis atbalsta piešķiršanas dienas atbalsts nepārsniedz noteikto maksimālo apmēru saskaņā ar Komisijas Regulas Nr. 1408/2013 3. panta 2. un 3. punktu, un 5. panta 1., 2. un 2.a. punktu viena vienota uzņēmuma līmenī. Viens vienots uzņēmums ir uzņēmums, kas atbilst Komisijas regulas Nr. 1408/2013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iepriekš sniegto komentāru par demarkācijas nodrošināšanu lūdzam anotācijā sniegt informāciju, vai ir izvērtētas Zemkopības ministrijas atbalsta programmas attiecībā uz līdzīga atbalsta finansējuma piesaistei kapitāla tirgos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"Risinājuma apraksts" papildināts ar skaidrojumu, ka nav identificēti citi līdzīgi atbalsta pasākumi, šādā redakcijā </w:t>
            </w:r>
            <w:r w:rsidR="00000000" w:rsidRPr="00000000" w:rsidDel="00000000">
              <w:rPr>
                <w:rtl w:val="0"/>
              </w:rPr>
              <w:t xml:space="preserve">"atbalsta demarkāciju ar Zemkopības ministrijas atbildībā esošām atbalsta programmām, uz Noteikumu projekta izstrādes brīdi nav identificējams līdzīgs atbalsts finansējuma piesaistei kapitāla tirgos."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aktuālo finansējuma sadalījumu pa intervences kodiem, kas, tajā skaitā, ir nepieciešams korektai datu ievadei KPVIS sistēmā pēc MK noteikumu grozījumu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sadaļās "Risinājuma apraksts" papildināts šādā redakcijā "Minētajos Eiropas Savienības Kohēzijas politikas programmā 2021.–2027. gadam grozījumos noteikts ERAF finansējuma sadalījums pa intervences kodiem, kur 1.2.1.3. pasākuma ietvaros ir 21. intervences kods "MVU uzņēmējdarbības attīstība un internacionalizācija, tostarp ienesīgi ieguldījumi", kuram piemērojams finansējums 1 413 178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lauksaimniecības un zvejniecības nozares atbalsta iespēju pievienošanu pasākumam, lūdzam anotācijā sniegt Ekonomikas ministrijas izvērtējumu par pasākuma demarkāciju ar Zemkopības ministrijas atbalsta programmām pēc šo grozījumu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apraksts" papildināts ar skaidrojumu par demarkāciju. Atlases nolikumā ir paredzēta kārtībā, kā pārbauda atbalsta dubultā finansējuma neesamību un demarkāciju.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precizēt sākotnēji noteikto komercdarbības atbalsta likmi atbilstoši komersanta lielumam (mazais, vidējais komersants) vai pamatojumu tās nediferencēšanai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sākotnējās redakcijas anotācijā ir skaidrots komersantu nediferencēšanas pamatojums. Atbalsta pasākuma ietvaros netiek diferencēti komersanti pēc to lieluma, jo pasākuma ietvaros kotācijas process ir ilgstošs un mērķis ir sasniegt šo komersantu kotēšanu biržā un papildus piesaistīt investīcijas.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atspoguļot, ka rādītāju un finansējuma samazinājums saistīts arī ar ES kohēzijas politikas programmas 2021. - 2027.gadam grozījumiem Nr.3. Vienlaikus jāparedz risku, ka Eiropas Komisija var neatbalstīt Ekonomikas ministrijas ierosinātos grozījumus, tādējādi paredzot veikt attiecīgus grozījumus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apraksts" daļa "precizēt pieejamo finansējuma apmēru" un 3. sadaļa papildināta, norādot pamatu elastības finansējuma samazināšanai un pasākumu, kur tiek novirzīts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MK noteikumu grozījumu projektā tiek precizēts pasākuma finansējums, tad lūdzam anotācijā norādīt aktuālo finansējuma sadalījumu pa intervences kodiem.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netiek norādīts finansējums pa intervences kodiem, ņemot vērā, ka finansējuma sadalījums pa intervences kodiem tiek norādīts tiesību akta projektā “Grozījumiem Ministru kabineta 2021. gada 16. novembra rīkojumā Nr. 841 “Par Eiropas Savienības kohēzijas politikas programmu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konkrētajā pasākumā atlase jau ir izsludināta, atsevišķi projekta iesniedzēji projekta iesniegumus jau ir iesnieguši, tad lūdzam anotācijā ietvert pamatojumu par izstrādāto grozījumu ietekmi uz potenciālajiem projekta iesniedzējiem un projekta iesniedzējiem, kas jau ir iesnieguši projekta iesniegumus.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skaidrot grozījumu ietekmi uz atlases kritērijiem, t.i., vai ņemot vērā izstrādātos grozījumus, projekta iesniegumu atlases nolikumos būtu jāveic attiecīgi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apraksts" papildināts ar skaidrojumu, ka ar grozījumiem netiek paredzētas papildu prasības projekta īstenošanai atbilstoši atbalsta pasākuma mērķim. Ar Noteikumu projekta grozījumiem tiek paplašināts atbalsta saņēmēju loks, līdz ar to nav ietekmes uz potenciālo un esošo atbalsta pasākuma pieteicēju projekta īstenošanas nosacījumiem. Atbalsta pasākuma atlases nolikumā nepieciešams papildināt finanšu nosacījumu sadaļā, ietverot Komisijas regulu Nr. 1408/2013 un Komisijas regulu Nr. 717/2014 kā de minimis atbalsta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izteiktajam priekšlikumam lūgums anotācijā paredzēt risku, ka Eiropas Komisija var neatbalstīt Ekonomikas ministrijas ierosinātos grozījumus ES kohēzijas politikas programmā 2021. - 2027.gadam, tādējādi paredzot veikt attiecīgus grozījumus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riska atrunu</w:t>
            </w:r>
            <w:r w:rsidR="00000000" w:rsidRPr="00000000" w:rsidDel="00000000">
              <w:rPr>
                <w:rtl w:val="0"/>
              </w:rPr>
              <w:t xml:space="preserve">, proti, papildināta šādā redakcijā "pastāv iespējamība, ka Eiropas Komisija neapstiprina ierosinātos grozījumus par finansējuma pārdali Eiropas Savienības kohēzijas politikas programmā 2021. – 2027. gadam, tādējādi šādā gadījumā paredzēts veikt grozījumus MK noteikumos Nr. 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informāciju” papildināt ar informāciju par elastības finansējuma samazinājuma apmēru un iemeslu, ka arī norādīt, ka minētais samazinājums neietekmē 1.2.1.3. pasākuma īstenošanai pieejamo finansējuma apmēru. Vienlaikus lūdzam norādīt, ka noteikumu projektā paredzētās izmaiņas, tajā skaitā atbalsta sniegšana lauksaimniecības, zvejas un akvakultūras nozares komersantiem, tiks nodrošinātas 1.2.1.3. pasākuma īstenošanai plānotā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"Cita informācija" papildināta, norādīt elastības finansējuma samazinājumu, kuram pasākumam tas tiek novirzīts un, ka elastības finansējuma samazinājums neietekmē atbalsta pasākuma īstenošanai pieejamo finansējumu. Atbalsts ar grozījumiem papildinātajām nozarēm tiks piešķirts no esošā finansējuma. Proporcionāli finansējuma samazinājumam norādīts, ka rādītājs "atbalstītie uzņēmumi" tiek samazināts no 10 un 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komersanti, kuru darbība ir vērsta uz tehnoloģisko attīstību un izaugsmi, kā arī uz investīciju veikšanu pētniecībā, attīstībā un inovācijās.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skaidrot, vai jaunie atbalsta saņēmēji  - komersanti, kas nodarbojas ar zvejas un akvakultūras produktu primāro ražošanu, apstrādi, kā arī lauksaimniecības produktu primāro ražošanu un lauksaimniecības produktu pārstrādi un tirdzniecību atbildīs pasākuma mērķa grupai - komersanti, kuru darbība ir vērsta uz tehnoloģisko attīstību un izaugsmi, kā arī uz investīciju veikšanu pētniecībā, attīstībā un inovācijās.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papildināta, norādot, ka lauksaimniecības un zvejsaimniecības nozaru komersanti atbilst atbalsta pasākuma mērķgrupai. Neatkarīgi no tā, kādas nozares komersants piesakās, ir jāīsteno pasākuma mērķis - finansējuma piesaiste kapitāla tirgos. Komersants, piesakoties šim atbalsta pasākumam, norāda uz savas uzņēmējdarbības tehnoloģisko attīstību un izaugsmi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komersanti, kuru darbība ir vērsta uz tehnoloģisko attīstību un izaugsmi, kā arī uz investīciju veikšanu pētniecībā, attīstībā un inovācijās.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plānotais kopējais finansējums ir 1 662 562 euro, tai skaitā Eiropas Reģionālās attīstības fonda (turpmāk – ERAF) finansējums 1 413 177 euro un valsts budžeta finansējums 249 385  euro. Maksimālais ERAF finansējuma apmērs nepārsniedz 85  %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ES kohēzijas politikas programmas 2021. - 2027.gadam finansējuma tabulu (saskaņā ar Programmas 3.grozījumiem) 1.2.1.3.pasākuma kopējais finansējums ir 1 662 563 euro, ERAF finansējums - 1 413 178 euro.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norādot priekšlikumā esošās finansējuma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īstenošanai pieejamais kopējais attiecināmais finansējums ir 1 662 563 euro, tai skaitā Eiropas Reģionālās attīstības fonda (turpmāk – ERAF) finansējums 1 413 178 euro un valsts budžeta finansējums 249 385  euro. Maksimālais ERAF finansējuma apmērs nepārsniedz 85  % no projekta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Projektu iesniegumos pasākuma īstenošanai pieejamo kopējo attiecināmo finansējumu plāno ne vairāk kā 1 662 563 </w:t>
            </w:r>
            <w:r w:rsidR="00000000" w:rsidRPr="00000000" w:rsidDel="00000000">
              <w:rPr>
                <w:i w:val="1"/>
                <w:rtl w:val="0"/>
              </w:rPr>
              <w:t xml:space="preserve">euro </w:t>
            </w:r>
            <w:r w:rsidR="00000000" w:rsidRPr="00000000" w:rsidDel="00000000">
              <w:rPr>
                <w:rtl w:val="0"/>
              </w:rPr>
              <w:t xml:space="preserve">apmērā, tai skaitā ERAF finansējumu – 1 413 178 </w:t>
            </w:r>
            <w:r w:rsidR="00000000" w:rsidRPr="00000000" w:rsidDel="00000000">
              <w:rPr>
                <w:i w:val="1"/>
                <w:rtl w:val="0"/>
              </w:rPr>
              <w:t xml:space="preserve">euro</w:t>
            </w:r>
            <w:r w:rsidR="00000000" w:rsidRPr="00000000" w:rsidDel="00000000">
              <w:rPr>
                <w:rtl w:val="0"/>
              </w:rPr>
              <w:t xml:space="preserve"> apmērā un valsts budžeta finansējumu – 249 385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apvienot plānoto MK noteikumu 5. un 6.punktu, jo punktos norādītie finansējuma apmēri ir vienādi.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apvienojot 5. un 6. punktu, svītrojot 6. punktu. Noteikumu projekta 5. punktā iekļautā redakcija "Pasākuma īstenošanai pieejamais kopējais attiecināmais finansējums ir ir 1 662 563 euro, tai skaitā Eiropas Reģionālās attīstības fonda (turpmāk – ERAF) finansējums 1 413 178 euro un valsts budžeta finansējums 249 385  euro. Maksimālais ERAF finansējuma apmērs nepārsniedz 85  %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pasākuma ietvaros tiek sniegts granta veidā saskaņā ar Eiropas Komisijas 2023. gada 13. decembra Regulu (ES) Nr.  2023/2831 par Līguma par Eiropas Savienības darbību 107.  un 108. panta piemērošanu de minimis  atbalstam (turpmāk  – Komisijas regula Nr. 2023/2831), Eiropas Komisijas 2013. gada 18. decembra Regulu (ES) Nr. 1408/2013 par Līguma par Eiropas Savienības darbību 107. un 108. panta piemērošanu de minimis atbalstam lauksaimniecības nozarē (turpmāk - Komisijas regula Nr. 1408/2013) vai Eiropas Komisijas 2014. gada 27. jūnija Regulu (ES) Nr. 717/2014 par Līguma par Eiropas Savienības darbību 107. un 108. panta piemērošanu de minimis atbalstam zvejniecības un akvakultūras nozarē (turpmāk - Komisijas regula Nr. 717/2014).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nepārprotamu izpratni par finanšu plūsmu projekta īstenošanai, atbilstoši Anotācijā sniegtajam skaidrojumam, aicinām papildināt MKN 13. punktu, norādot, ka grants tiek izmaksāts tikai pēc sekmīgas akciju vai parāda vērstpapīru iekļaušanās tirdzniecības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punkts papildināts atbilstoši piedāvātai redakcijai, proti, 31. punktā pēdējais teikums papildināts šādā redakcijā "Atbalstu finansējuma saņēmējam izmaksā pēc sekmīgas akciju vai parāda vērtspapīru iekļaušanas tirdzniecības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Atbalsts netiek piešķirts projekta iesniedzējam, kurš: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18.punktā minēto normu atbilstību plānotajam pasākuma mērķim. Šobrīd šīs normas aizliedz saņemt atbalstu uzņēmumam, kas vienlaikus darbojas vairākās nozarēs, pat ja tas veic nozaru darbību nodalīšanu, kas ir tikai loģiski, jo dalībai kapitāla tirgos atbalstu gūst viss uzņēmums. Taču vēršam uzmanību, ka noteikumu projekta 18.punktā minētās normas ir pretrunā noteikumu 35.punktā noteiktajam un aicinām pretrunu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35.2.1. un 35.3.1. apakšpunktus, kas paredzēja darbību nodalīšanu. Tādējādi tika novērsta pretruna, ka atbalstam var pieteikties komersanti, kas darbojas gan atbalstāmā, gan neatbalstāmā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papildināta anotācija ar skaidrojumu, ka pasākums ir vērsts uz finansējuma piesaistīšanu komersantiem kapitāla tirgos – akciju emisiju un parāda vērtspapīru emisiju, un līdz ar to, saņemot atbalstu, komersants nevar nodalīt izmaksas vai darbības tā, lai tā darbības kādā konkrētā nozarē negūst labumu piešķirtā atbalsta ietvaros. Tādējādi nav pieļaujams, ka projekta iesniedzējs darbojas kādā nozarē vai veic darbības, kas minētas kā neatbalstāmas attiecīgajā de minimis atbalsta regulā.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Atbalsts netiek piešķirts projekta iesniedzējam, kurš: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35.2.2. triju gadu laikā, skaitot no de minimis atbalsta piešķiršanas dienas atbalsts nepārsniedz noteikto maksimālo apmēru saskaņā ar Komisijas Regulas Nr. 1408/2013 3. panta 2. un 3. punktu, un 5. panta 1. un 2. punktu viena vienota uzņēmuma līmenī. Viens vienots uzņēmums ir uzņēmums, kas atbilst Komisijas regulas Nr. 1408/2013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Regulas Nr. 1408/2013 5. pantu jānodrošina visu trīs de minimis regulu kumulācija, tādēļ nepieciešams apakšpunktu papildināt ar atsauci arī uz Komisijas Regulas Nr. 1408/2013 5. panta 2a.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35.2. apakšpunkts papildināts ar Komisijas Regulas Nr. 1408/2013 5. panta 2a. punktu. Ņemot vērā, ka 35.2.1. apakšpunkts tiks svītrots, jo 1.2.1.3. atbalsta pasākuma ietvaros komersantam nav iespējams nodalīt neatbalstāmo nozari vai darbības tā, ka labumu negūst viss uzņēmums, tad tika svītrots 35.2.1. apakšpunkts un jaunajā redakcijā ir tikai 35.2. apakšpunkts, kurā integrēts Komisijas Regulas Nr. 1408/2013 5. panta 2a.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25-TA-116</w:t>
    </w:r>
    <w:r>
      <w:br/>
    </w:r>
    <w:r w:rsidR="00000000" w:rsidRPr="00000000" w:rsidDel="00000000">
      <w:rPr>
        <w:rtl w:val="0"/>
      </w:rPr>
      <w:t xml:space="preserve">15.04.2025. 17.18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25-TA-116</w:t>
    </w:r>
    <w:r>
      <w:br/>
    </w:r>
    <w:r w:rsidR="00000000" w:rsidRPr="00000000" w:rsidDel="00000000">
      <w:rPr>
        <w:rtl w:val="0"/>
      </w:rPr>
      <w:t xml:space="preserve">15.04.2025. 17.18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Izziņa_25-TA-116.docx</dc:title>
</cp:coreProperties>
</file>

<file path=docProps/custom.xml><?xml version="1.0" encoding="utf-8"?>
<Properties xmlns="http://schemas.openxmlformats.org/officeDocument/2006/custom-properties" xmlns:vt="http://schemas.openxmlformats.org/officeDocument/2006/docPropsVTypes"/>
</file>