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1507 "Kārtība, kādā atmaksā pievienotās vērtības nodokli trešās valsts vai trešās teritorijas reģistrētam nodokļa maksātājam"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par nelietota nekustamā īpašuma iegādi iekšzemē un par iekšzemē saņemtajiem pakalpojumiem, kas ir saistīti ar nekustamā īpašuma būvniecību, pārbūvi, atjaunošanu, restaurāciju vai būvniecības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1. punktā veikti redakcionāli precizējumi, tostarp terminu "remonts" aizstājot ar terminu "būvniecības pakalpojumi". Anotācijā skaidrots, ka "</w:t>
            </w:r>
            <w:r w:rsidR="00000000" w:rsidRPr="00000000" w:rsidDel="00000000">
              <w:rPr>
                <w:i w:val="1"/>
                <w:rtl w:val="0"/>
              </w:rPr>
              <w:t xml:space="preserve">Ministru kabineta noteikumu Nr.1507 izpratnē, piemērojot Īstenošanas regulas 282/2011 31.a panta "k" apakšpunktu, </w:t>
            </w:r>
            <w:r w:rsidR="00000000" w:rsidRPr="00000000" w:rsidDel="00000000">
              <w:rPr>
                <w:i w:val="1"/>
                <w:u w:val="single"/>
                <w:rtl w:val="0"/>
              </w:rPr>
              <w:t xml:space="preserve">ar terminu “remonts” saprotami apdares darbi, kas ir būvniecības pakalpojums</w:t>
            </w:r>
            <w:r w:rsidR="00000000" w:rsidRPr="00000000" w:rsidDel="00000000">
              <w:rPr>
                <w:rtl w:val="0"/>
              </w:rPr>
              <w:t xml:space="preserve">". No minētā, šķiet, izriet, ka termins "remonts" nav tas pats, kas "būvniecības pakalpojums" un ka termins "būvniecības pakalpojums" ir plašāks par terminu "remonts". Attiecīgi var secināt, ka normā veikts nevis tikai redakcionāls precizējums, bet gan saturiskas izmaiņas, kas, šķiet, paplašina arī gadījumus, kad Valsts ieņēmumu dienests pieņem lēmumu par atteikumu atmaksāt pievienotās vērtības nodokli. Attiecīgi lūdzam izvērtēt un sniegt papildu skaidrojumus par izmantoto terminoloģiju anotācijā un pamatot attiecīgās izmaiņas vai arī veikt attiecīgus precizējumus projektā. Papildus aicinām izvērtēt un gramatiski precizēt teikumu, jo šobrīd tas, šķiet, veidots neloģiski ("[..] </w:t>
            </w:r>
            <w:r w:rsidR="00000000" w:rsidRPr="00000000" w:rsidDel="00000000">
              <w:rPr>
                <w:u w:val="single"/>
                <w:rtl w:val="0"/>
              </w:rPr>
              <w:t xml:space="preserve">pakalpojumiem, kas ir saistīti ar</w:t>
            </w:r>
            <w:r w:rsidR="00000000" w:rsidRPr="00000000" w:rsidDel="00000000">
              <w:rPr>
                <w:rtl w:val="0"/>
              </w:rPr>
              <w:t xml:space="preserve"> nekustamā īpašuma [..] būvniecības </w:t>
            </w:r>
            <w:r w:rsidR="00000000" w:rsidRPr="00000000" w:rsidDel="00000000">
              <w:rPr>
                <w:u w:val="single"/>
                <w:rtl w:val="0"/>
              </w:rPr>
              <w:t xml:space="preserve">pakalpojumiem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14.2.3.apakšpunkta redakcija, veidojot tiešu atsauci uz pakalpojumiem, kas minēti Īstenošanas regulas 31.a panta 2.punkta "k"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par nelietota nekustamā īpašuma iegādi iekšzemē un par iekšzemē saņemtajiem pakalpojumiem, kas ir saistīti ar nekustamā īpašuma būvniecību, pārbūvi, atjaunošanu, restaurāciju vai Padomes 2011.gada 15.marta Īstenošanas regulas (ES) Nr. 282/2011, ar ko nosaka īstenošanas pasākumus direktīvai 2006/112/EK par kopējo pievienotās vērtības nodokļa sistēmu (pārstrādāta versija) 31.a panta 2.punkta "k" apakšpunktā minētajiem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 un 4. punktā ietvertās atsauces uz Padomes 2011.gada 15.marta Īstenošanas regulas (ES) Nr. 282/2011, ar ko nosaka īstenošanas pasākumus direktīvai 2006/112/EK par kopējo pievienotās vērtības nodokļa sistēmu (pārstrādāta versija) 31.a panta 2.punkta "k" apakšpunktu, aicinām izvērtēt un, ja projektā ieviesta minētā regulas norma, papildināt anotācijas 5.4. sadaļas 1. tabulu ar informāciju par regulas vienības ieviešanu attiecīgajās projekta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Tieslietu ministrijas priekšlikums un Finanšu ministrijas ieskatā vārda "remonts" aizstāšana ar atsauci uz Padomes 2011.gada 15.marta Īstenošanas regulas (ES) Nr. 282/2011, ar ko nosaka īstenošanas pasākumus direktīvai 2006/112/EK par kopējo pievienotās vērtības nodokļa sistēmu (pārstrādāta versija) 31.a panta 2.punkta "k" apakšpunktu, ir redakcionāls precizējums, ar kuru regulas norma netiek ieviesta, jo regula ir tieši piemērojama. Ar minēto redakcionālo precizējumu netiek mainīta esošā prakse, bet vārda "remonts" aizstāšana labāk paskaidro tvērumu.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par nelietota nekustamā īpašuma iegādi iekšzemē un par iekšzemē saņemtajiem pakalpojumiem, kas ir saistīti ar nekustamā īpašuma būvniecību, pārbūvi, atjaunošanu, restaurāciju vai Padomes 2011.gada 15.marta Īstenošanas regulas (ES) Nr. 282/2011, ar ko nosaka īstenošanas pasākumus direktīvai 2006/112/EK par kopējo pievienotās vērtības nodokļa sistēmu (pārstrādāta versija) 31.a panta 2.punkta "k" apakšpunktā minētajiem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vārda "remonts" aizstāšanas ar atsauci uz Padomes 2011.gada 15.marta Īstenošanas regulas (ES) Nr. 282/2011, ar ko nosaka īstenošanas pasākumus direktīvai 2006/112/EK par kopējo pievienotās vērtības nodokļa sistēmu (pārstrādāta versija) 31.a panta 2.punkta "k" apakšpunktu nepieciešamību un nozīmi, kā arī normas tvērumu, tostarp skaidrojot, vai normas tvērums faktiski netiek paplašināts, paredzot saturiski vēl kādus gadījumus, kad Valsts ieņēmumu dienests pieņem lēmumu par atteikumu atmaksāt nodokli (sk., piemēram, regulas normā minēto pakalpojumu "ēkas vai tās daļas uzturēšana").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Tieslietu ministrijas priekšlikums anotācijā izvērstāk skaidrot vārda "remonts" aizstāšanu ar atsauci uz Padomes 2011.gada 15.marta Īstenošanas regulas (ES) Nr. 282/2011, ar ko nosaka īstenošanas pasākumus direktīvai 2006/112/EK par kopējo pievienotās vērtības nodokļa sistēmu (pārstrādāta versija) 31.a panta 2.punkta "k"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paplašināts skaidrojums nav nepieciešams, jo Ministru kabineta noteikumu projekta anotācijā ir minēts, ka termina "remonts" aizstāšana ir redakcionāls precizējums. Redakcionālā precizējuma mērķis ir mazināt interpretācijas iespējas un vienkāršot Valsts ieņēmumu dienesta darbu, skaidrojot termina "remonts" korelāciju ar citiem normatīvajiem aktiem, jo attiecībā uz nekustamā īpašuma jomu minētais termins nav skaidrots ne Pievienotās vērtības nodokļa likumā, ne būvniecības jomas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redakcionālo precizējumu, aizstājot vārdu "remonts" ar atsauci uz Padomes 2011.gada 15.marta Īstenošanas regulas (ES) Nr. 282/2011, ar ko nosaka īstenošanas pasākumus direktīvai 2006/112/EK par kopējo pievienotās vērtības nodokļa sistēmu (pārstrādāta versija) 31.a panta 2.punkta "k" apakšpunktu, netiek paplašināts normas tvērums.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par nelietota nekustamā īpašuma iegādi iekšzemē un par iekšzemē saņemtajiem pakalpojumiem, kas ir saistīti ar nekustamā īpašuma būvniecību, pārbūvi, atjaunošanu, restaurāciju vai Padomes 2011.gada 15.marta Īstenošanas regulas (ES) Nr. 282/2011, ar ko nosaka īstenošanas pasākumus direktīvai 2006/112/EK par kopējo pievienotās vērtības nodokļa sistēmu (pārstrādāta versija) 31.a panta 2.punkta "k" apakšpunktā minētajiem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 darījumiem, ko veic saskaņā ar Pievienotās vērtības nodokļa likuma 140.</w:t>
            </w:r>
            <w:r w:rsidR="00000000" w:rsidRPr="00000000" w:rsidDel="00000000">
              <w:rPr>
                <w:vertAlign w:val="superscript"/>
                <w:rtl w:val="0"/>
              </w:rPr>
              <w:t xml:space="preserve">4</w:t>
            </w:r>
            <w:r w:rsidR="00000000" w:rsidRPr="00000000" w:rsidDel="00000000">
              <w:rPr>
                <w:rtl w:val="0"/>
              </w:rPr>
              <w:t xml:space="preserve"> pantā noteikto īpašo nodokļa režīmu.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projekta 2. punktā ietverto noteikumu papildinājumu ar 14.</w:t>
            </w:r>
            <w:r w:rsidR="00000000" w:rsidRPr="00000000" w:rsidDel="00000000">
              <w:rPr>
                <w:vertAlign w:val="superscript"/>
                <w:rtl w:val="0"/>
              </w:rPr>
              <w:t xml:space="preserve">1</w:t>
            </w:r>
            <w:r w:rsidR="00000000" w:rsidRPr="00000000" w:rsidDel="00000000">
              <w:rPr>
                <w:rtl w:val="0"/>
              </w:rPr>
              <w:t xml:space="preserve"> 3. apakšpunktu vēršam uzmanību, ka Pievienotās vērtības nodokļa likuma 140.</w:t>
            </w:r>
            <w:r w:rsidR="00000000" w:rsidRPr="00000000" w:rsidDel="00000000">
              <w:rPr>
                <w:vertAlign w:val="superscript"/>
                <w:rtl w:val="0"/>
              </w:rPr>
              <w:t xml:space="preserve">4</w:t>
            </w:r>
            <w:r w:rsidR="00000000" w:rsidRPr="00000000" w:rsidDel="00000000">
              <w:rPr>
                <w:rtl w:val="0"/>
              </w:rPr>
              <w:t xml:space="preserve"> panta sešpadsmitā daļa paredz: "</w:t>
            </w:r>
            <w:r w:rsidR="00000000" w:rsidRPr="00000000" w:rsidDel="00000000">
              <w:rPr>
                <w:i w:val="1"/>
                <w:rtl w:val="0"/>
              </w:rPr>
              <w:t xml:space="preserve">Šā panta otrajā daļā minētajam nodokļa maksātājam nodokļa summu par iekšzemē iegādātajām precēm un saņemtajiem pakalpojumiem importa režīma ietvaros veicamo darījumu nodrošināšanai atmaksā no valsts budžeta, piemērojot </w:t>
            </w:r>
            <w:r w:rsidR="00000000" w:rsidRPr="00000000" w:rsidDel="00000000">
              <w:rPr>
                <w:i w:val="1"/>
                <w:u w:val="single"/>
                <w:rtl w:val="0"/>
              </w:rPr>
              <w:t xml:space="preserve">šā likuma 112. vai 113. pantā</w:t>
            </w:r>
            <w:r w:rsidR="00000000" w:rsidRPr="00000000" w:rsidDel="00000000">
              <w:rPr>
                <w:i w:val="1"/>
                <w:rtl w:val="0"/>
              </w:rPr>
              <w:t xml:space="preserve"> noteikto kārtību</w:t>
            </w:r>
            <w:r w:rsidR="00000000" w:rsidRPr="00000000" w:rsidDel="00000000">
              <w:rPr>
                <w:rtl w:val="0"/>
              </w:rPr>
              <w:t xml:space="preserve">." Attiecīgi normā ietverta norāde ne tikai uz likuma 112. pantu, kas regulē nodokļa atmaksāšanu trešās valsts vai trešās teritorijas reģistrētam nodokļa maksātājam, bet </w:t>
            </w:r>
            <w:r w:rsidR="00000000" w:rsidRPr="00000000" w:rsidDel="00000000">
              <w:rPr>
                <w:u w:val="single"/>
                <w:rtl w:val="0"/>
              </w:rPr>
              <w:t xml:space="preserve">arī uz 113. pantu</w:t>
            </w:r>
            <w:r w:rsidR="00000000" w:rsidRPr="00000000" w:rsidDel="00000000">
              <w:rPr>
                <w:rtl w:val="0"/>
              </w:rPr>
              <w:t xml:space="preserve">, kas regulē nodokļa atmaksāšanu </w:t>
            </w:r>
            <w:r w:rsidR="00000000" w:rsidRPr="00000000" w:rsidDel="00000000">
              <w:rPr>
                <w:u w:val="single"/>
                <w:rtl w:val="0"/>
              </w:rPr>
              <w:t xml:space="preserve">citas dalībvalsts reģistrētam nodokļa maksātājam</w:t>
            </w:r>
            <w:r w:rsidR="00000000" w:rsidRPr="00000000" w:rsidDel="00000000">
              <w:rPr>
                <w:rtl w:val="0"/>
              </w:rPr>
              <w:t xml:space="preserve">. Pamatojoties uz Pievienotās vērtības nodokļa 113. panta otro daļu un 114. panta otro daļu izdoti Ministru kabineta 2013.gada 17.decembra noteikumi Nr.1514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Attiecīgi lūdzam izvērtēt un sniegt skaidrojumu, vai nav nepieciešami noteikumu projekta 2. punktā ietvertajam noteikumu 14.</w:t>
            </w:r>
            <w:r w:rsidR="00000000" w:rsidRPr="00000000" w:rsidDel="00000000">
              <w:rPr>
                <w:vertAlign w:val="superscript"/>
                <w:rtl w:val="0"/>
              </w:rPr>
              <w:t xml:space="preserve">1</w:t>
            </w:r>
            <w:r w:rsidR="00000000" w:rsidRPr="00000000" w:rsidDel="00000000">
              <w:rPr>
                <w:rtl w:val="0"/>
              </w:rPr>
              <w:t xml:space="preserve"> 3. apakšpunktam atbilstoši grozījumi arī iepriekš minētajos Ministru kabineta noteikumos. Nepieciešamības gadījumā aicinām izstrādāt un virzīt apstiprināšanai Ministru kabinetā attiecīgu noteikumu projektu un attiecīgi papildināt projekta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PVN atmaksu par iekšzemē iegādātajām precēm un saņemtajiem pakalpojumiem Pievienotās vērtības nodokļa likuma 140.</w:t>
            </w:r>
            <w:r w:rsidR="00000000" w:rsidRPr="00000000" w:rsidDel="00000000">
              <w:rPr>
                <w:vertAlign w:val="superscript"/>
                <w:rtl w:val="0"/>
              </w:rPr>
              <w:t xml:space="preserve">4</w:t>
            </w:r>
            <w:r w:rsidR="00000000" w:rsidRPr="00000000" w:rsidDel="00000000">
              <w:rPr>
                <w:rtl w:val="0"/>
              </w:rPr>
              <w:t xml:space="preserve"> pantā noteiktā IOSS režīmā ietvaros veicamo darījumu nodrošināšanai, ir izstrādāti grozījumi Ministru kabineta 2013.gada 17.decembra noteikumos Nr.1514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virzība tiek nodrošināta ar Ministru kabineta noteikumu projektu 23-TA-2166.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23-TA-2282</w:t>
    </w:r>
    <w:r>
      <w:br/>
    </w:r>
    <w:r w:rsidR="00000000" w:rsidRPr="00000000" w:rsidDel="00000000">
      <w:rPr>
        <w:rtl w:val="0"/>
      </w:rPr>
      <w:t xml:space="preserve">18.12.2023. 18.31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23-TA-2282</w:t>
    </w:r>
    <w:r>
      <w:br/>
    </w:r>
    <w:r w:rsidR="00000000" w:rsidRPr="00000000" w:rsidDel="00000000">
      <w:rPr>
        <w:rtl w:val="0"/>
      </w:rPr>
      <w:t xml:space="preserve">18.12.2023. 18.31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Izziņa_23-TA-2282.docx</dc:title>
</cp:coreProperties>
</file>

<file path=docProps/custom.xml><?xml version="1.0" encoding="utf-8"?>
<Properties xmlns="http://schemas.openxmlformats.org/officeDocument/2006/custom-properties" xmlns:vt="http://schemas.openxmlformats.org/officeDocument/2006/docPropsVTypes"/>
</file>