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507040E" w14:textId="77777777" w:rsidR="006F7D27" w:rsidRDefault="00457726">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6F7D27" w14:paraId="4C2B3D30" w14:textId="77777777">
        <w:tc>
          <w:tcPr>
            <w:tcW w:w="750" w:type="dxa"/>
            <w:shd w:val="clear" w:color="auto" w:fill="FFFFFF"/>
            <w:noWrap/>
            <w:tcMar>
              <w:top w:w="75" w:type="dxa"/>
              <w:left w:w="75" w:type="dxa"/>
              <w:bottom w:w="75" w:type="dxa"/>
              <w:right w:w="75" w:type="dxa"/>
            </w:tcMar>
            <w:vAlign w:val="center"/>
          </w:tcPr>
          <w:p w14:paraId="59338C8A" w14:textId="77777777" w:rsidR="006F7D27" w:rsidRDefault="00457726">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29A362D9" w14:textId="77777777" w:rsidR="006F7D27" w:rsidRDefault="00457726">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7C13FB11" w14:textId="77777777" w:rsidR="006F7D27" w:rsidRDefault="00457726">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2593AC05" w14:textId="77777777" w:rsidR="006F7D27" w:rsidRDefault="00457726">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2D3B0493" w14:textId="77777777" w:rsidR="006F7D27" w:rsidRDefault="00457726">
            <w:pPr>
              <w:jc w:val="center"/>
            </w:pPr>
            <w:r>
              <w:rPr>
                <w:b/>
              </w:rPr>
              <w:t>Pamatojums, ja iebildums / priekšlikums nav ņemts vērā</w:t>
            </w:r>
          </w:p>
        </w:tc>
      </w:tr>
      <w:tr w:rsidR="006F7D27" w14:paraId="6724792C" w14:textId="77777777">
        <w:tc>
          <w:tcPr>
            <w:tcW w:w="750" w:type="dxa"/>
            <w:shd w:val="clear" w:color="auto" w:fill="FFFFFF"/>
            <w:noWrap/>
            <w:tcMar>
              <w:top w:w="75" w:type="dxa"/>
              <w:left w:w="75" w:type="dxa"/>
              <w:bottom w:w="75" w:type="dxa"/>
              <w:right w:w="75" w:type="dxa"/>
            </w:tcMar>
            <w:vAlign w:val="center"/>
          </w:tcPr>
          <w:p w14:paraId="31D746B6" w14:textId="77777777" w:rsidR="006F7D27" w:rsidRDefault="00457726">
            <w:pPr>
              <w:jc w:val="center"/>
            </w:pPr>
            <w:r>
              <w:t>1.</w:t>
            </w:r>
          </w:p>
        </w:tc>
        <w:tc>
          <w:tcPr>
            <w:tcW w:w="4155" w:type="dxa"/>
            <w:shd w:val="clear" w:color="auto" w:fill="FFFFFF"/>
            <w:noWrap/>
            <w:tcMar>
              <w:top w:w="75" w:type="dxa"/>
              <w:left w:w="75" w:type="dxa"/>
              <w:bottom w:w="75" w:type="dxa"/>
              <w:right w:w="75" w:type="dxa"/>
            </w:tcMar>
            <w:vAlign w:val="center"/>
          </w:tcPr>
          <w:p w14:paraId="2AC079A7" w14:textId="77777777" w:rsidR="006F7D27" w:rsidRDefault="00457726">
            <w:pPr>
              <w:jc w:val="left"/>
            </w:pPr>
            <w:r>
              <w:t>Fiziska persona</w:t>
            </w:r>
          </w:p>
        </w:tc>
        <w:tc>
          <w:tcPr>
            <w:tcW w:w="4156" w:type="dxa"/>
            <w:shd w:val="clear" w:color="auto" w:fill="FFFFFF"/>
            <w:noWrap/>
            <w:tcMar>
              <w:top w:w="75" w:type="dxa"/>
              <w:left w:w="75" w:type="dxa"/>
              <w:bottom w:w="75" w:type="dxa"/>
              <w:right w:w="75" w:type="dxa"/>
            </w:tcMar>
            <w:vAlign w:val="center"/>
          </w:tcPr>
          <w:p w14:paraId="3507C4B9" w14:textId="77777777" w:rsidR="006F7D27" w:rsidRDefault="00457726">
            <w:pPr>
              <w:jc w:val="left"/>
            </w:pPr>
            <w:r>
              <w:t>Vēršu uzmanību uz to, ka piedāvātais grozījumu projekts ir nepilnīgs. </w:t>
            </w:r>
            <w:r>
              <w:br/>
              <w:t xml:space="preserve">Šobrīd vispārējā vidējā izglītībā ir ieviesta kompetenču balstīta mācība, kas ir arī vairāku līmeņu, t.sk. eksaktās zinātnēs - </w:t>
            </w:r>
            <w:r>
              <w:rPr>
                <w:b/>
              </w:rPr>
              <w:t>ir padziļināti kursi</w:t>
            </w:r>
            <w:r>
              <w:t xml:space="preserve"> Matemātikā, Dabaszinātnēs, Tehnoloģijās. Koeficients 0,75 Matemātikā I noteikti nebūs tas pats, kas Matemātikā II, proti, tas neatspoguļo to, ka ir/nav apgūts padziļinātais kurss. Un noteikumu projektā tas nav ņemts vērā un nav nekādā veidā atrunāts. </w:t>
            </w:r>
            <w:r>
              <w:br/>
              <w:t xml:space="preserve">Otrs būtisks jautājums - ir </w:t>
            </w:r>
            <w:r>
              <w:rPr>
                <w:b/>
              </w:rPr>
              <w:t xml:space="preserve">modulārā </w:t>
            </w:r>
            <w:r>
              <w:t xml:space="preserve">profesionālā vidējā izglītība, kur vidējās vispārējās izglītības tēmas tiek mācītas moduļu veidā, daļa no vispārējās </w:t>
            </w:r>
            <w:r>
              <w:lastRenderedPageBreak/>
              <w:t>un pamata profesionālās dabas jautājumiem var būt faktiski integrēti arī pašos A, B vai pat C līmeņa moduļos (piemēram, papildus Fizikas tēmas, sociālo zinātņu tēmas, u.c.). Līdz ar ko nav skaidrs, kā to vērtēt un ņemt vērā gadījumā, ja vidējās profesionālās izglītības programmas absolvents vēlēsies iegūt augstāku kvalifikāciju vai citu izglītību, turpinot studijas augstskolā.</w:t>
            </w:r>
            <w:r>
              <w:br/>
              <w:t>Papildus, jāņem vērā, ka var tikt apgūta arī moduļu kombinācija dažādā laika periodā un dažādās izglītības iestādēs un programmās, t.sk. mūžizglītības ietvaros.</w:t>
            </w:r>
            <w:r>
              <w:br/>
            </w:r>
            <w:r>
              <w:br/>
              <w:t xml:space="preserve">Pirmie absolventi pēc jaunām programmām būs lielā daudzumā jau tuvākajā laikā un būtiski palielināsies ar katru nākamo gadu līdz pilnai pārejai uz jauniem izglītības veidiem, taču mehānisms joprojām izskatās, ka nav izstrādāts. Pilnīgi visu problēmas risinājumu uzvelt augstskolām un studiju programmām nebūtu </w:t>
            </w:r>
            <w:r>
              <w:lastRenderedPageBreak/>
              <w:t>korekti - ir jābūt izstrādātam vismaz kādam centralizētam pamata atspēriena punktam, vadlīnijām, rekomendācijām. </w:t>
            </w:r>
          </w:p>
        </w:tc>
        <w:tc>
          <w:tcPr>
            <w:tcW w:w="1350" w:type="dxa"/>
            <w:shd w:val="clear" w:color="auto" w:fill="FFFFFF"/>
            <w:noWrap/>
            <w:tcMar>
              <w:top w:w="75" w:type="dxa"/>
              <w:left w:w="75" w:type="dxa"/>
              <w:bottom w:w="75" w:type="dxa"/>
              <w:right w:w="75" w:type="dxa"/>
            </w:tcMar>
            <w:vAlign w:val="center"/>
          </w:tcPr>
          <w:p w14:paraId="0612CADF" w14:textId="1BA998CB" w:rsidR="006F7D27" w:rsidRDefault="00CD0A27">
            <w:pPr>
              <w:jc w:val="left"/>
            </w:pPr>
            <w:r>
              <w:lastRenderedPageBreak/>
              <w:t>N</w:t>
            </w:r>
            <w:r w:rsidR="003C6CC9">
              <w:t xml:space="preserve">av </w:t>
            </w:r>
            <w:r>
              <w:t xml:space="preserve"> ņemts vērā</w:t>
            </w:r>
          </w:p>
        </w:tc>
        <w:tc>
          <w:tcPr>
            <w:tcW w:w="4156" w:type="dxa"/>
            <w:shd w:val="clear" w:color="auto" w:fill="FFFFFF"/>
            <w:noWrap/>
            <w:tcMar>
              <w:top w:w="75" w:type="dxa"/>
              <w:left w:w="75" w:type="dxa"/>
              <w:bottom w:w="75" w:type="dxa"/>
              <w:right w:w="75" w:type="dxa"/>
            </w:tcMar>
            <w:vAlign w:val="center"/>
          </w:tcPr>
          <w:p w14:paraId="19FD8270" w14:textId="77777777" w:rsidR="006F7D27" w:rsidRDefault="00CD0A27" w:rsidP="00CD0A27">
            <w:pPr>
              <w:jc w:val="left"/>
            </w:pPr>
            <w:r>
              <w:t>Vidusskolas beidzējam ir iespējams kārtot jebkuru eksāmenu augstākajā mācību satura apguves  līmenī. Tikai latviešu valodu, svešvalodu un matemātiku var kārtot tikai optimālajā mācību satura apguves  līmenī. Tā kā šajos eksāmenos netiek prasīts augstākajā mācību satura apguves  līmeņa prasības, tad attiecīgi šo eksāmenu  rezultāti augstākā līmeņa eksāmeniem tiek piemērots koeficients 0,75.</w:t>
            </w:r>
          </w:p>
          <w:p w14:paraId="2D81C9B9" w14:textId="77777777" w:rsidR="00CD0A27" w:rsidRDefault="00CD0A27" w:rsidP="00CD0A27">
            <w:pPr>
              <w:jc w:val="left"/>
            </w:pPr>
            <w:r>
              <w:t xml:space="preserve">Neatkarīgi no tā, kā izglītojamais apguves mācību saturu, eksāmena prasības visiem ir vienādas. </w:t>
            </w:r>
          </w:p>
        </w:tc>
      </w:tr>
      <w:tr w:rsidR="006F7D27" w14:paraId="7612B1FB" w14:textId="77777777">
        <w:tc>
          <w:tcPr>
            <w:tcW w:w="750" w:type="dxa"/>
            <w:shd w:val="clear" w:color="auto" w:fill="FFFFFF"/>
            <w:noWrap/>
            <w:tcMar>
              <w:top w:w="75" w:type="dxa"/>
              <w:left w:w="75" w:type="dxa"/>
              <w:bottom w:w="75" w:type="dxa"/>
              <w:right w:w="75" w:type="dxa"/>
            </w:tcMar>
            <w:vAlign w:val="center"/>
          </w:tcPr>
          <w:p w14:paraId="7D498B4F" w14:textId="77777777" w:rsidR="006F7D27" w:rsidRDefault="00457726">
            <w:pPr>
              <w:jc w:val="center"/>
            </w:pPr>
            <w:r>
              <w:lastRenderedPageBreak/>
              <w:t>2.</w:t>
            </w:r>
          </w:p>
        </w:tc>
        <w:tc>
          <w:tcPr>
            <w:tcW w:w="4155" w:type="dxa"/>
            <w:shd w:val="clear" w:color="auto" w:fill="FFFFFF"/>
            <w:noWrap/>
            <w:tcMar>
              <w:top w:w="75" w:type="dxa"/>
              <w:left w:w="75" w:type="dxa"/>
              <w:bottom w:w="75" w:type="dxa"/>
              <w:right w:w="75" w:type="dxa"/>
            </w:tcMar>
            <w:vAlign w:val="center"/>
          </w:tcPr>
          <w:p w14:paraId="09725F59" w14:textId="77777777" w:rsidR="006F7D27" w:rsidRDefault="00457726">
            <w:pPr>
              <w:jc w:val="left"/>
            </w:pPr>
            <w:r>
              <w:t xml:space="preserve">Dmitrijs </w:t>
            </w:r>
            <w:proofErr w:type="spellStart"/>
            <w:r>
              <w:t>Dmitrijevs</w:t>
            </w:r>
            <w:proofErr w:type="spellEnd"/>
          </w:p>
        </w:tc>
        <w:tc>
          <w:tcPr>
            <w:tcW w:w="4156" w:type="dxa"/>
            <w:shd w:val="clear" w:color="auto" w:fill="FFFFFF"/>
            <w:noWrap/>
            <w:tcMar>
              <w:top w:w="75" w:type="dxa"/>
              <w:left w:w="75" w:type="dxa"/>
              <w:bottom w:w="75" w:type="dxa"/>
              <w:right w:w="75" w:type="dxa"/>
            </w:tcMar>
            <w:vAlign w:val="center"/>
          </w:tcPr>
          <w:p w14:paraId="03C08060" w14:textId="77777777" w:rsidR="006F7D27" w:rsidRDefault="00457726">
            <w:pPr>
              <w:jc w:val="left"/>
            </w:pPr>
            <w:r>
              <w:t xml:space="preserve">Tas ir lieliski, ka Latvijas Republika rūpējas par saviem jauniešiem. Tomēr, manuprāt, atbalsts vietējiem jauniešiem augstākās izglītības iegūšanā ir nepietiekams. Pirmkārt, augstākajai izglītībai ir jābūt kā sociālajam liftam, kas sniedz reālas iespējas trūcīgiem un maznodrošinātiem jauniešiem saņemt augstāko izglītību un atrast labi apmaksātu darbu. Pašlaik es neredzu it nekādu atbalstu trūcīgiem un maznodrošinātiem jauniešiem augstākās izglītības apguvē. Šāda atbalsta vienkārši nav. Piemēram, Rīgas Tehniskajā Universitātē inženierzinātņu programmās ir daudz fiktīvu valsts apmaksāto budžeta studiju vietu. Iespēju studēt šajās studiju vietās var izcīnīt jebkurš jaunietis. Trūcīgiem un maznodrošinātiem studentiem </w:t>
            </w:r>
            <w:r>
              <w:lastRenderedPageBreak/>
              <w:t xml:space="preserve">nekādas priekšrocības cīņā par valsts apmaksātajām budžeta studiju vietām neviens nenodrošina. Diemžēl valsts apmaksātās budžeta studiju vietas iegūšana negarantē diploma iegūšanu attiecīgajā studiju programmā (avots: apollo.lv/5061828/studijas-rtu-pabeidz-tikai-neliela-dala-jauniesu). Tādējādi trūcīgie un maznodrošinātie jaunieši tiek maldināti par savām nākotnes iespējām. Otrkārt, valdība prettiesiski studējošajiem jauniešiem no trūcīgām un maznodrošinātām ģimenēm liedz saņemt Ģimenes valsts pabalstu. Ģimenes valsts pabalsta apjoms, protams, ir visai simbolisks, tā apjoms ir visai mazs, tomēr trūcīgām un maznodrošinātām ģimenēm tā ir liela nauda. Treškārt, trūcīgiem un maznodrošinātiem jauniešiem, studējot kādā augstākās izglītības iestādē, ir jānodrošina ikmēneša stipendija vismaz Garantētā minimālā ienākuma </w:t>
            </w:r>
            <w:r>
              <w:lastRenderedPageBreak/>
              <w:t xml:space="preserve">pabalsta līmenī neatkarīgi no sekmēm vai jebkādām citām studējošā īpašībām. Ceturtkārt, ir jāatvieglo trūcīgā statusa un maznodrošinātā statusa iegūšana, t.i., ir jāceļ ienākumu </w:t>
            </w:r>
            <w:proofErr w:type="spellStart"/>
            <w:r>
              <w:t>pamatslieksni</w:t>
            </w:r>
            <w:proofErr w:type="spellEnd"/>
            <w:r>
              <w:t>. Ir jāsamazina nejēdzīgie, birokrātiskie šķēršļi.  </w:t>
            </w:r>
          </w:p>
        </w:tc>
        <w:tc>
          <w:tcPr>
            <w:tcW w:w="1350" w:type="dxa"/>
            <w:shd w:val="clear" w:color="auto" w:fill="FFFFFF"/>
            <w:noWrap/>
            <w:tcMar>
              <w:top w:w="75" w:type="dxa"/>
              <w:left w:w="75" w:type="dxa"/>
              <w:bottom w:w="75" w:type="dxa"/>
              <w:right w:w="75" w:type="dxa"/>
            </w:tcMar>
            <w:vAlign w:val="center"/>
          </w:tcPr>
          <w:p w14:paraId="0B098858" w14:textId="210DFA22" w:rsidR="006F7D27" w:rsidRDefault="003C6CC9">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07C0448E" w14:textId="3476D6A6" w:rsidR="006F7D27" w:rsidRDefault="003C6CC9">
            <w:pPr>
              <w:jc w:val="left"/>
            </w:pPr>
            <w:r>
              <w:t>Iebildums nav attiecināms uz grozījumu projektu.</w:t>
            </w:r>
          </w:p>
        </w:tc>
      </w:tr>
      <w:tr w:rsidR="006F7D27" w14:paraId="5BFD3E33" w14:textId="77777777">
        <w:tc>
          <w:tcPr>
            <w:tcW w:w="750" w:type="dxa"/>
            <w:shd w:val="clear" w:color="auto" w:fill="FFFFFF"/>
            <w:noWrap/>
            <w:tcMar>
              <w:top w:w="75" w:type="dxa"/>
              <w:left w:w="75" w:type="dxa"/>
              <w:bottom w:w="75" w:type="dxa"/>
              <w:right w:w="75" w:type="dxa"/>
            </w:tcMar>
            <w:vAlign w:val="center"/>
          </w:tcPr>
          <w:p w14:paraId="4642E571" w14:textId="77777777" w:rsidR="006F7D27" w:rsidRDefault="00457726">
            <w:pPr>
              <w:jc w:val="center"/>
            </w:pPr>
            <w:r>
              <w:lastRenderedPageBreak/>
              <w:t>3.</w:t>
            </w:r>
          </w:p>
        </w:tc>
        <w:tc>
          <w:tcPr>
            <w:tcW w:w="4155" w:type="dxa"/>
            <w:shd w:val="clear" w:color="auto" w:fill="FFFFFF"/>
            <w:noWrap/>
            <w:tcMar>
              <w:top w:w="75" w:type="dxa"/>
              <w:left w:w="75" w:type="dxa"/>
              <w:bottom w:w="75" w:type="dxa"/>
              <w:right w:w="75" w:type="dxa"/>
            </w:tcMar>
            <w:vAlign w:val="center"/>
          </w:tcPr>
          <w:p w14:paraId="0F68F240" w14:textId="77777777" w:rsidR="006F7D27" w:rsidRDefault="00457726">
            <w:pPr>
              <w:jc w:val="left"/>
            </w:pPr>
            <w:r>
              <w:t xml:space="preserve">Leonīds </w:t>
            </w:r>
            <w:proofErr w:type="spellStart"/>
            <w:r>
              <w:t>Krivišs</w:t>
            </w:r>
            <w:proofErr w:type="spellEnd"/>
          </w:p>
        </w:tc>
        <w:tc>
          <w:tcPr>
            <w:tcW w:w="4156" w:type="dxa"/>
            <w:shd w:val="clear" w:color="auto" w:fill="FFFFFF"/>
            <w:noWrap/>
            <w:tcMar>
              <w:top w:w="75" w:type="dxa"/>
              <w:left w:w="75" w:type="dxa"/>
              <w:bottom w:w="75" w:type="dxa"/>
              <w:right w:w="75" w:type="dxa"/>
            </w:tcMar>
            <w:vAlign w:val="center"/>
          </w:tcPr>
          <w:p w14:paraId="48223EB1" w14:textId="77777777" w:rsidR="006F7D27" w:rsidRDefault="00457726">
            <w:pPr>
              <w:jc w:val="left"/>
            </w:pPr>
            <w:r>
              <w:t xml:space="preserve">Tas ir lieliski, ka Latvijas Republika rūpējas par saviem jauniešiem. Tomēr, manuprāt, atbalsts vietējiem jauniešiem augstākās izglītības iegūšanā ir nepietiekams. Pirmkārt, augstākajai izglītībai ir jābūt kā sociālajam liftam, kas sniedz reālas iespējas trūcīgiem un maznodrošinātiem jauniešiem saņemt augstāko izglītību un atrast labi apmaksātu darbu. Pašlaik es neredzu it nekādu atbalstu trūcīgiem un maznodrošinātiem jauniešiem augstākās izglītības apguvē. Šāda atbalsta vienkārši nav. Piemēram, Rīgas Tehniskajā Universitātē inženierzinātņu programmās ir daudz fiktīvu valsts apmaksāto </w:t>
            </w:r>
            <w:r>
              <w:lastRenderedPageBreak/>
              <w:t xml:space="preserve">budžeta studiju vietu. Iespēju studēt šajās studiju vietās var izcīnīt jebkurš jaunietis. Trūcīgiem un maznodrošinātiem studentiem nekādas priekšrocības cīņā par valsts apmaksātajām budžeta studiju vietām neviens nenodrošina. Diemžēl valsts apmaksātās budžeta studiju vietas iegūšana negarantē diploma iegūšanu attiecīgajā studiju programmā (avots: apollo.lv/5061828/studijas-rtu-pabeidz-tikai-neliela-dala-jauniesu). Tādējādi trūcīgie un maznodrošinātie jaunieši tiek maldināti par savām nākotnes iespējām. Otrkārt, valdība prettiesiski studējošajiem jauniešiem no trūcīgām un maznodrošinātām ģimenēm liedz saņemt Ģimenes valsts pabalstu. Ģimenes valsts pabalsta apjoms, protams, ir visai simbolisks, tā apjoms ir visai mazs, tomēr trūcīgām un maznodrošinātām ģimenēm tā ir liela nauda. Treškārt, trūcīgiem un maznodrošinātiem </w:t>
            </w:r>
            <w:r>
              <w:lastRenderedPageBreak/>
              <w:t xml:space="preserve">jauniešiem, studējot kādā augstākās izglītības iestādē, ir jānodrošina ikmēneša stipendija vismaz Garantētā minimālā ienākuma pabalsta līmenī neatkarīgi no sekmēm vai jebkādām citām studējošā īpašībām. Ceturtkārt, ir jāatvieglo trūcīgā statusa un maznodrošinātā statusa iegūšana, t.i., ir jāceļ ienākumu </w:t>
            </w:r>
            <w:proofErr w:type="spellStart"/>
            <w:r>
              <w:t>pamatslieksni</w:t>
            </w:r>
            <w:proofErr w:type="spellEnd"/>
            <w:r>
              <w:t>. Ir jāsamazina nejēdzīgie, birokrātiskie šķēršļi.  </w:t>
            </w:r>
          </w:p>
        </w:tc>
        <w:tc>
          <w:tcPr>
            <w:tcW w:w="1350" w:type="dxa"/>
            <w:shd w:val="clear" w:color="auto" w:fill="FFFFFF"/>
            <w:noWrap/>
            <w:tcMar>
              <w:top w:w="75" w:type="dxa"/>
              <w:left w:w="75" w:type="dxa"/>
              <w:bottom w:w="75" w:type="dxa"/>
              <w:right w:w="75" w:type="dxa"/>
            </w:tcMar>
            <w:vAlign w:val="center"/>
          </w:tcPr>
          <w:p w14:paraId="64CBE40A" w14:textId="2CC21A17" w:rsidR="006F7D27" w:rsidRDefault="003C6CC9">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7CF8485E" w14:textId="266D0222" w:rsidR="006F7D27" w:rsidRDefault="003C6CC9">
            <w:pPr>
              <w:jc w:val="left"/>
            </w:pPr>
            <w:r>
              <w:t>Iebildums nav attiecināms uz grozījumu projektu.</w:t>
            </w:r>
          </w:p>
        </w:tc>
      </w:tr>
      <w:tr w:rsidR="006F7D27" w14:paraId="477F4B78" w14:textId="77777777">
        <w:tc>
          <w:tcPr>
            <w:tcW w:w="750" w:type="dxa"/>
            <w:shd w:val="clear" w:color="auto" w:fill="FFFFFF"/>
            <w:noWrap/>
            <w:tcMar>
              <w:top w:w="75" w:type="dxa"/>
              <w:left w:w="75" w:type="dxa"/>
              <w:bottom w:w="75" w:type="dxa"/>
              <w:right w:w="75" w:type="dxa"/>
            </w:tcMar>
            <w:vAlign w:val="center"/>
          </w:tcPr>
          <w:p w14:paraId="1D4814B4" w14:textId="77777777" w:rsidR="006F7D27" w:rsidRDefault="00457726">
            <w:pPr>
              <w:jc w:val="center"/>
            </w:pPr>
            <w:r>
              <w:lastRenderedPageBreak/>
              <w:t>4.</w:t>
            </w:r>
          </w:p>
        </w:tc>
        <w:tc>
          <w:tcPr>
            <w:tcW w:w="4155" w:type="dxa"/>
            <w:shd w:val="clear" w:color="auto" w:fill="FFFFFF"/>
            <w:noWrap/>
            <w:tcMar>
              <w:top w:w="75" w:type="dxa"/>
              <w:left w:w="75" w:type="dxa"/>
              <w:bottom w:w="75" w:type="dxa"/>
              <w:right w:w="75" w:type="dxa"/>
            </w:tcMar>
            <w:vAlign w:val="center"/>
          </w:tcPr>
          <w:p w14:paraId="714EFFA0" w14:textId="77777777" w:rsidR="006F7D27" w:rsidRDefault="00457726">
            <w:pPr>
              <w:jc w:val="left"/>
            </w:pPr>
            <w:r>
              <w:t xml:space="preserve">Tatjana </w:t>
            </w:r>
            <w:proofErr w:type="spellStart"/>
            <w:r>
              <w:t>Dmitrijeva</w:t>
            </w:r>
            <w:proofErr w:type="spellEnd"/>
          </w:p>
        </w:tc>
        <w:tc>
          <w:tcPr>
            <w:tcW w:w="4156" w:type="dxa"/>
            <w:shd w:val="clear" w:color="auto" w:fill="FFFFFF"/>
            <w:noWrap/>
            <w:tcMar>
              <w:top w:w="75" w:type="dxa"/>
              <w:left w:w="75" w:type="dxa"/>
              <w:bottom w:w="75" w:type="dxa"/>
              <w:right w:w="75" w:type="dxa"/>
            </w:tcMar>
            <w:vAlign w:val="center"/>
          </w:tcPr>
          <w:p w14:paraId="7EB18CD7" w14:textId="77777777" w:rsidR="006F7D27" w:rsidRDefault="00457726">
            <w:pPr>
              <w:jc w:val="left"/>
            </w:pPr>
            <w:r>
              <w:t xml:space="preserve">Tas ir lieliski, ka Latvijas Republika rūpējas par saviem jauniešiem. Tomēr, manuprāt, atbalsts vietējiem jauniešiem augstākās izglītības iegūšanā ir nepietiekams. Pirmkārt, augstākajai izglītībai ir jābūt kā sociālajam liftam, kas sniedz reālas iespējas trūcīgiem un maznodrošinātiem jauniešiem saņemt augstāko izglītību un atrast labi apmaksātu darbu. Pašlaik es neredzu it nekādu atbalstu trūcīgiem un maznodrošinātiem jauniešiem augstākās izglītības apguvē. Šāda </w:t>
            </w:r>
            <w:r>
              <w:lastRenderedPageBreak/>
              <w:t xml:space="preserve">atbalsta vienkārši nav. Piemēram, Rīgas Tehniskajā Universitātē inženierzinātņu programmās ir daudz fiktīvu valsts apmaksāto budžeta studiju vietu. Iespēju studēt šajās studiju vietās var izcīnīt jebkurš jaunietis. Trūcīgiem un maznodrošinātiem studentiem nekādas priekšrocības cīņā par valsts apmaksātajām budžeta studiju vietām neviens nenodrošina. Diemžēl valsts apmaksātās budžeta studiju vietas iegūšana negarantē diploma iegūšanu attiecīgajā studiju programmā (avots: apollo.lv/5061828/studijas-rtu-pabeidz-tikai-neliela-dala-jauniesu). Tādējādi trūcīgie un maznodrošinātie jaunieši tiek maldināti par savām nākotnes iespējām. Otrkārt, valdība prettiesiski studējošajiem jauniešiem no trūcīgām un maznodrošinātām ģimenēm liedz saņemt Ģimenes valsts pabalstu. Ģimenes valsts pabalsta apjoms, protams, ir visai simbolisks, tā </w:t>
            </w:r>
            <w:r>
              <w:lastRenderedPageBreak/>
              <w:t xml:space="preserve">apjoms ir visai mazs, tomēr trūcīgām un maznodrošinātām ģimenēm tā ir liela nauda. Treškārt, trūcīgiem un maznodrošinātiem jauniešiem, studējot kādā augstākās izglītības iestādē, ir jānodrošina ikmēneša stipendija vismaz Garantētā minimālā ienākuma pabalsta līmenī neatkarīgi no sekmēm vai jebkādām citām studējošā īpašībām. Ceturtkārt, ir jāatvieglo trūcīgā statusa un maznodrošinātā statusa iegūšana, t.i., ir jāceļ ienākumu </w:t>
            </w:r>
            <w:proofErr w:type="spellStart"/>
            <w:r>
              <w:t>pamatslieksni</w:t>
            </w:r>
            <w:proofErr w:type="spellEnd"/>
            <w:r>
              <w:t>. Ir jāsamazina nejēdzīgie, birokrātiskie šķēršļi.  </w:t>
            </w:r>
          </w:p>
        </w:tc>
        <w:tc>
          <w:tcPr>
            <w:tcW w:w="1350" w:type="dxa"/>
            <w:shd w:val="clear" w:color="auto" w:fill="FFFFFF"/>
            <w:noWrap/>
            <w:tcMar>
              <w:top w:w="75" w:type="dxa"/>
              <w:left w:w="75" w:type="dxa"/>
              <w:bottom w:w="75" w:type="dxa"/>
              <w:right w:w="75" w:type="dxa"/>
            </w:tcMar>
            <w:vAlign w:val="center"/>
          </w:tcPr>
          <w:p w14:paraId="7C750DB6" w14:textId="2D6F9DE7" w:rsidR="006F7D27" w:rsidRDefault="003C6CC9">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319BF7D4" w14:textId="3EF79B08" w:rsidR="006F7D27" w:rsidRDefault="003C6CC9">
            <w:pPr>
              <w:jc w:val="left"/>
            </w:pPr>
            <w:r>
              <w:t>Iebildums nav attiecināms uz grozījumu projektu.</w:t>
            </w:r>
          </w:p>
        </w:tc>
      </w:tr>
    </w:tbl>
    <w:p w14:paraId="797F110F" w14:textId="77777777" w:rsidR="00457726" w:rsidRDefault="00457726"/>
    <w:sectPr w:rsidR="00457726">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5F9F3" w14:textId="77777777" w:rsidR="000D63C1" w:rsidRDefault="000D63C1">
      <w:r>
        <w:separator/>
      </w:r>
    </w:p>
  </w:endnote>
  <w:endnote w:type="continuationSeparator" w:id="0">
    <w:p w14:paraId="7F10C1BE" w14:textId="77777777" w:rsidR="000D63C1" w:rsidRDefault="000D6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215BF" w14:textId="77777777" w:rsidR="006F7D27" w:rsidRDefault="00457726">
    <w:pPr>
      <w:jc w:val="right"/>
    </w:pPr>
    <w:r>
      <w:rPr>
        <w:sz w:val="24"/>
        <w:szCs w:val="24"/>
      </w:rPr>
      <w:fldChar w:fldCharType="begin"/>
    </w:r>
    <w:r>
      <w:rPr>
        <w:sz w:val="24"/>
        <w:szCs w:val="24"/>
      </w:rPr>
      <w:instrText>PAGE</w:instrText>
    </w:r>
    <w:r>
      <w:rPr>
        <w:sz w:val="24"/>
        <w:szCs w:val="24"/>
      </w:rPr>
      <w:fldChar w:fldCharType="separate"/>
    </w:r>
    <w:r w:rsidR="00556A5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27DB" w14:textId="77777777" w:rsidR="00DD2810" w:rsidRDefault="0045772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20CEF" w14:textId="77777777" w:rsidR="000D63C1" w:rsidRDefault="000D63C1">
      <w:r>
        <w:separator/>
      </w:r>
    </w:p>
  </w:footnote>
  <w:footnote w:type="continuationSeparator" w:id="0">
    <w:p w14:paraId="1E5F0B7B" w14:textId="77777777" w:rsidR="000D63C1" w:rsidRDefault="000D6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FC9C6" w14:textId="77777777" w:rsidR="006F7D27" w:rsidRDefault="00457726">
    <w:pPr>
      <w:pStyle w:val="Galvene"/>
      <w:contextualSpacing w:val="0"/>
    </w:pPr>
    <w:r>
      <w:t>Viedokļu pārskats 22-TA-1882</w:t>
    </w:r>
    <w:r>
      <w:br/>
      <w:t>Izdrukāts 07.07.2022. 09.57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14EED" w14:textId="77777777" w:rsidR="006F7D27" w:rsidRDefault="00457726">
    <w:pPr>
      <w:pStyle w:val="Galvene"/>
      <w:contextualSpacing w:val="0"/>
    </w:pPr>
    <w:r>
      <w:t>Viedokļu pārskats 22-TA-1882</w:t>
    </w:r>
    <w:r>
      <w:br/>
      <w:t>Izdrukāts 07.07.2022. 09.57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D27"/>
    <w:rsid w:val="000D63C1"/>
    <w:rsid w:val="003C6CC9"/>
    <w:rsid w:val="00457726"/>
    <w:rsid w:val="00556A56"/>
    <w:rsid w:val="006F7D27"/>
    <w:rsid w:val="00CD0A27"/>
    <w:rsid w:val="00DD2810"/>
    <w:rsid w:val="00FF3C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89FB4"/>
  <w15:docId w15:val="{D6A6D0D7-E013-432A-893F-4ED35267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style>
  <w:style w:type="paragraph" w:styleId="Virsraksts1">
    <w:name w:val="heading 1"/>
    <w:basedOn w:val="Parasts"/>
    <w:next w:val="Parasts"/>
    <w:pPr>
      <w:spacing w:after="120"/>
      <w:contextualSpacing/>
      <w:outlineLvl w:val="0"/>
    </w:pPr>
    <w:rPr>
      <w:rFonts w:ascii="Palatino" w:eastAsia="Palatino" w:hAnsi="Palatino" w:cs="Palatino"/>
      <w:sz w:val="36"/>
    </w:rPr>
  </w:style>
  <w:style w:type="paragraph" w:styleId="Virsraksts2">
    <w:name w:val="heading 2"/>
    <w:basedOn w:val="Parasts"/>
    <w:next w:val="Parasts"/>
    <w:pPr>
      <w:spacing w:before="120" w:after="160"/>
      <w:contextualSpacing/>
      <w:outlineLvl w:val="1"/>
    </w:pPr>
    <w:rPr>
      <w:rFonts w:ascii="Arial" w:eastAsia="Arial" w:hAnsi="Arial" w:cs="Arial"/>
      <w:b/>
      <w:sz w:val="26"/>
    </w:rPr>
  </w:style>
  <w:style w:type="paragraph" w:styleId="Virsraksts3">
    <w:name w:val="heading 3"/>
    <w:basedOn w:val="Parasts"/>
    <w:next w:val="Parasts"/>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pPr>
      <w:spacing w:before="120" w:after="120"/>
      <w:contextualSpacing/>
      <w:outlineLvl w:val="3"/>
    </w:pPr>
    <w:rPr>
      <w:rFonts w:ascii="Palatino" w:eastAsia="Palatino" w:hAnsi="Palatino" w:cs="Palatino"/>
      <w:b/>
      <w:sz w:val="24"/>
    </w:rPr>
  </w:style>
  <w:style w:type="paragraph" w:styleId="Virsraksts5">
    <w:name w:val="heading 5"/>
    <w:basedOn w:val="Parasts"/>
    <w:next w:val="Parasts"/>
    <w:pPr>
      <w:spacing w:before="120" w:after="120"/>
      <w:contextualSpacing/>
      <w:outlineLvl w:val="4"/>
    </w:pPr>
    <w:rPr>
      <w:rFonts w:ascii="Arial" w:eastAsia="Arial" w:hAnsi="Arial" w:cs="Arial"/>
      <w:b/>
      <w:sz w:val="22"/>
    </w:rPr>
  </w:style>
  <w:style w:type="paragraph" w:styleId="Virsraksts6">
    <w:name w:val="heading 6"/>
    <w:basedOn w:val="Parasts"/>
    <w:next w:val="Parasts"/>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pPr>
      <w:contextualSpacing/>
    </w:pPr>
    <w:rPr>
      <w:rFonts w:ascii="Palatino" w:eastAsia="Palatino" w:hAnsi="Palatino" w:cs="Palatino"/>
      <w:sz w:val="60"/>
    </w:rPr>
  </w:style>
  <w:style w:type="paragraph" w:styleId="Apakvirsraksts">
    <w:name w:val="Subtitle"/>
    <w:basedOn w:val="Parasts"/>
    <w:next w:val="Parasts"/>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table" w:customStyle="1" w:styleId="a">
    <w:basedOn w:val="Parastatabula"/>
    <w:tblPr>
      <w:tblStyleRowBandSize w:val="1"/>
      <w:tblStyleColBandSize w:val="1"/>
    </w:tblPr>
  </w:style>
  <w:style w:type="paragraph" w:styleId="Kjene">
    <w:name w:val="footer"/>
    <w:basedOn w:val="Parasts"/>
    <w:link w:val="KjeneRakstz"/>
    <w:uiPriority w:val="99"/>
    <w:unhideWhenUsed/>
    <w:rsid w:val="00FF3CCC"/>
    <w:pPr>
      <w:tabs>
        <w:tab w:val="center" w:pos="4677"/>
        <w:tab w:val="right" w:pos="9355"/>
      </w:tabs>
    </w:pPr>
  </w:style>
  <w:style w:type="character" w:customStyle="1" w:styleId="KjeneRakstz">
    <w:name w:val="Kājene Rakstz."/>
    <w:basedOn w:val="Noklusjumarindkopasfonts"/>
    <w:link w:val="Kjene"/>
    <w:uiPriority w:val="99"/>
    <w:rsid w:val="00FF3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1187</Words>
  <Characters>6769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viedoklu_parskats_22-TA-1882.docx</vt:lpstr>
    </vt:vector>
  </TitlesOfParts>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viedoklu_parskats_22-TA-1882.docx</dc:title>
  <dc:creator>Kaspars Špūle</dc:creator>
  <cp:lastModifiedBy>Dana Karelova</cp:lastModifiedBy>
  <cp:revision>4</cp:revision>
  <dcterms:created xsi:type="dcterms:W3CDTF">2022-07-07T11:05:00Z</dcterms:created>
  <dcterms:modified xsi:type="dcterms:W3CDTF">2022-07-07T11:06:00Z</dcterms:modified>
</cp:coreProperties>
</file>