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24-TA-1800: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Ceļu satiksmes drošības plāna 2021.-2027. gadam starpposma ietekmes izvērtējums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“Ceļu satiksmes drošības plāna 2021.-2027.gadam starpposma ietekmes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Viedās administrācijas un reģionālās attīstības ministriju svītrot kā atbildīgo institūciju informatīvā ziņojuma 7.tabulā "Jauni pasākumi ceļu satiksmes drošības uzlabošanai" pie pasākuma Nr.9 "Nodrošināt plašāku informatīvo atbalstu, lai uzsvērtu iespēju attīstības projektos izmēģināt jaunus infrastruktūras risinājumus (Sākot ar koplietošanas telpu ieviešanu kā dzīvotspējīgiem infrastruktūras risinājumiem, kurus var un vajadzētu īstenot piemērotos apstākļos)." īstenošanas. Norādām, ka VARAM kompetencē nav koplietošanas telpu projektēšanas un būvniecības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Viedās administrācijas un reģionālās attīstības ministriju svītrot kā atbildīgo institūciju informatīvā ziņojuma 7.tabulā "Jauni pasākumi ceļu satiksmes drošības uzlabošanai" pie pasākuma Nr.9 "Nodrošināt plašāku informatīvo atbalstu, lai uzsvērtu iespēju attīstības projektos izmēģināt jaunus infrastruktūras risinājumus (Sākot ar koplietošanas telpu ieviešanu kā dzīvotspējīgiem infrastruktūras risinājumiem, kurus var un vajadzētu īstenot piemērotos apstākļos)." īstenošanas.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7.tabula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“Ceļu satiksmes drošības plāna 2021.-2027.gadam starpposma ietekmes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Informatīvā ziņojuma 5.sadaļā "Jauni pasākumi ceļu satiksmes drošības uzlabošanai" ietvertā pasākuma Nr.20 (Pilnveidot ceļu satiksmes dalībnieku kontroli par pārkāpumiem, kas saistīti ar apstāšanās un stāvēšanas prasību izpildi, tostarp izvērtējot iespēju paplašināt tehnisko līdzekļu izmantošanu pārkāpumu kontrolē) Nosaukumu, Darbības rezultātu, Rezultatīvos rādītājus un Atbildīgās institūcijas. Lai apstāšanās un stāvēšanas noteikumu pārkāpumus varētu fiksēt ar tehniskiem līdzekļiem, kā arī, lai administratīvos sodus par šiem pārkāpumiem varētu piemērot citas pašvaldību institūcijas, iespējams būs nepieciešami grozījumi Administratīvās atbildības likumā un Ministru kabineta 2020.gada 30.jūnija noteikumos Nr.422 "Kārtība, kādā paziņo lēmumu par soda piemērošanu par apstāšanās vai stāvēšanas noteikumu pārkāpumiem, ja transportlīdzekļa vadītājs neatrodas pārkāpuma izdarīšanas vietā". Ievērojot minēto, aicinām par atbildīgo institūciju pasākuma īstenošanā noteikt Satiksmes ministriju, bet par  iesaistītajām institūcijām - Iekšlietu ministriju un Tieslietu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7.tabulas 19.punkts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“Ceļu satiksmes drošības plāna 2021.-2027.gadam starpposma ietekmes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Informatīvā ziņojuma 5.sadaļā "Jauni pasākumi ceļu satiksmes drošības uzlabošanai" ietverto pasākumu Nr.7 (Ceļu satiksmes dalībnieku kontroles paplašināšana, nodrošinot, ka daļa no OCTA līdzekļiem tiek piešķirti policijas transportlīdzekļu aprīkošanai ar 360 grādu kamerām) ņemot vērā, ka šis pasākums pēc būtības dublē Ceļu satiksmes drošības plāna 2021.-2027.gadam Rīcības virzienā 4.1. "Drošs ceļu satiksmes dalībnieks ietverto pasākumu Nr.1 (Īstenot pasākumus ceļu satiksmes dalībnieku kontrolei), kura īstenošanai laika periodā līdz 2027.gadam plānots finansējums 1 000 000 euro apmērā (katru gadu), kā arī rīcības virziena 4.3 "Droša vide" ietverto pasākumu Nr.5. (Nodrošināt visaptverošu ceļu satiksmes noteikumu ievērošanu), kura īstenošanai laika periodā līdz 2027.gadam plānots finansējums 400 000 euro apmērā (katru gadu).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7.tabulas konkrētais 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“Ceļu satiksmes drošības plāna 2021.-2027.gadam starpposma ietekmes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6.tabulas ailē “Plānotais nepieciešamais finansējums (euro) un tā avoti” un 7.tabulas “Jauni pasākumi ceļu satiksmes drošības uzlabošanai” ailē “Nepieciešamais finansējums un tā avoti” precizēt norādīto “Tiks noteikts pēc izvērtējuma” papildinot, ka pasākums tiks nodrošināts pieejamā finansējuma ietvaros, vai sniedzot citas skaidrojošas atsauces.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6. un 7. tabula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“Ceļu satiksmes drošības plāna 2021.-2027.gadam starpposma ietekmes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7.tabulā ailē “Nepieciešamais finansējums un tā avoti” 10. punktam ar summu 100 000 euro norādīt finansējuma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7.tabulas 10.punkts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“Ceļu satiksmes drošības plāna 2021.-2027.gadam starpposma ietekmes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4.tabulas beigās, kur norādīts izlietotais finansējums plāna realizācijai kopā 2021.-2023. gadā, saskaitot norādīto tabulas punktos ailē “Plānotais nepieciešamais finansējums (euro) un tā avoti” nesanāk kopsavilkumā norādītais. Lūdzam izvērtēt un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“Ceļu satiksmes drošības plāna 2021.-2027.gadam starpposma ietekmes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7.tabulas beigās, kur norādīti finansējuma avotu kopsumma, nav iekļauti 7.tabulas 3.punktā norādītie OCTA līdzekļi 900 000 euro apmērā.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7.tabula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“Ceļu satiksmes drošības plāna 2021.-2027.gadam starpposma ietekmes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informatīvā ziņojuma 32.lapā 6.pasākuma informāciju par izpildi atbilstoši zemāk piedāvātajai redakcijai. Vienlaikus aicinām precizēt un pareizi lietot tarnsportlīdzekļa ekspluatācijas nodokļa nosaukumu, t.i., 31. un 60.lapā vārdu "Transportlīdzekļu" aizstājot ar vārdu "transportlīdzekļa".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19.septembra MK ārkārtas sēdes protokola Nr.38 1. § 2.5. apakšpunktā ir uzdots Finanšu ministrijai veikt grozījumus Transportlīdzekļa ekspluatācijas nodokļa un uzņēmumu vieglo transportlīdzekļu nodokļa likumā, kas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palielināt visas transportlīdzekļa ekspluatācijas nodokļa likmes par 10 % ar 2025.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 transportlīdzekļa ekspluatācijas nodokļa samaksas termiņu – kalendārajam gadam sekojošā gada 31.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palielināt uzņēmumu vieglo transportlīdzekļu nodokļa likmes par 10% ar 2027.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Transportlīdzekļa ekspluatācijas nodokļa un uzņēmumu vieglo transportlīdzekļu nodokļa likumā" (24-TA-2218) tiek virzīts likumprojekta "Par valsts budžetu 2025.gadam un budžeta ietvaru 2025., 2026. un 2027.gadam" pavadošo likumprojektu pakotnē.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“Ceļu satiksmes drošības plāna 2021.-2027.gadam starpposma ietekmes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“Ceļu satiksmes drošības plāna 2021.-2027.gadam starpposma ietekmes izvērtējums” 7.tabulas 7.punktā ietverts pasākums, kas paredz ceļu satiksmes dalībnieku kontroles paplašināšanu, nodrošinot, ka daļa no OCTA līdzekļiem tiek piešķirti policijas transportlīdzekļu aprīkošanai ar 360 grādu kamerām. Minētajam pasākuma piešķirta augsta prioritāte, kas nozīmē, ka tā īstenošana jāuzsāk nekavējoties pēc informatīvā ziņojuma pieņemšanas (2025.gadā).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vairākkārt uzsvērusi, ka tā saucamo 360 grādu kameru izmantošanas ceļu satiksmes uzraudzībā praksē pierādījusi savu efektivitāti, jo nodrošina visaptverošu ceļu satiksmes noteikumu kontroli, vienlaicīgi radot ceļu satiksmes dalībniekos soda neizbēgamības sajūtu.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šādu papildus tehnisko līdzekļu ieviešana ceļu satiksmes uzraudzībā radīs ietekmi gan uz Valsts policijas personāla resursiem (darbinieki, kas nodrošina tehnisko līdzekļu darbību pārkāpumu fiksācijai, darbinieki, kas apstrādā fiksēto informāciju un veic administratīvā pārkāpuma procesu), gan arī tam būs nepieciešams papildus materiālais nodrošinājums (transportlīdzekļi, kuri tiktu aprīkoti ar 360 grādu kamerām). Ievērojot minēto, Valsts policija neatbalsta informatīvā ziņojuma 7.tabulas 7.punktā ietvertā pasākuma realizēšanu jau 2025.gadā, jo nepieciešams veikt izvērtējumu gan par ietekmi uz Valsts policijas funkcijām, gan arī kopumā par Valsts policijas ceļu satiksmē izmantojamo tehnisko līdzekļu turpmākās attīstības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7.tabulas konkrētais 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“Ceļu satiksmes drošības plāna 2021.-2027.gadam starpposma ietekmes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izteikt informatīvā ziņojuma 6. tabulas 3. punkta 6. pasākumu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VP 2021.gadā izstrādāja jauna dizaina mājas lapu www.manadrosiba.lv, paredzot sadaļu gan autorizētiem lietotājiem, kurā reģistrēties pedagogiem, lai strādātu ar interaktīvajām nodarbībām, gan integrēt interaktīvu mācību materiālu kopumu par drošību, piedaloties ceļu satiksmē. Mājaslapa paredzēta preventīvas informācijas publicēšanai un nodošanai dažādām vecuma grupām vienkopus, ērtā un viegli uztveramā veidā, tai skaitā preventīva informācija par ceļu satiksmi bērniem un jauniešiem, bērnu un jauniešu vecākiem, profesionāļiem (izglītības iestāžu personālam, vides dizaina plānotājiem un citu jomu profesionāļiem). (Pasākuma kopējās izmaksas 8353,84EUR)."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informatīvā ziņojuma 6. tabulas 3. punkta 7. pasākumu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Izstrādāja un īstenoja interaktīvās prezentācijas, veicinot bērnu izglītošanu, nodrošinot pedagogiem izmantot interaktīvu materiālu kopumu, kas pieejams pedagogiem Valsts policijas drošības mājas lapā www.manadrosiba.lv. Mājaslapā ir iespēja lietotājam autorizēties. Sadaļa izstrādāta īstenojot VP Galvenās kārtības policijas pārvaldes Prevencijas vadības biroja programmu - Drošības vēstnešu programma, kurā ikviens skolas pārstāvis var pasniegt skolniekiem nodarbības caur integrētajām interaktīvajām prezentācijām. Interaktīvā mācību materiāla izmantošana nodrošina bērnu zināšanas par ceļu satiksmes drošību, kā arī tā pieejamība palielina bērnu skaitu, kas tiek izglītoti par drošību, piedaloties ceļu satiksmē. (Projekta kopējās izmaksas 19 965,00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6.tabulas Rīcības virziena 4.1. sadaļas 3.punkts attiecīgi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“Ceļu satiksmes drošības plāna 2021.-2027.gadam starpposma ietekmes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23. lpp. 4 rindkopā noteikts,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atļautā braukšanas ātruma pārkāpumiem lielākais ātruma pārkāpumu skaits gan apdzīvotā vietā, gan ārpus apdzīvotas vietas ir pārkāpumi par atļautā braukšanas ātruma no 21 līdz 30 kilometriem stundā, kam seko atļautā braukšanas ātruma pārkāpumi no 11 līdz 20 kilometriem stundā un trešajā vietā no 31 līdz 40 kilometriem stundā. Šāda gradācija novērojama gan veicot fizisku transportlīdzekļa apturēšanu, gan fiksējot pārkāpumu ar tehniskajiem līdzekļiem, neapturot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norāda, ka tās rīcībā ir atšķirīga informācija par fiksēto atļautā braukšanas ātruma pārkāpumu skaitu, proti, lielākais, ar tehniskajiem līdzekļiem, neapturot transportlīdzekli, fiksētais atļautā braukšanas ātruma pārkāpumu skaits ir no 11-20 km/h, tam seko 21-30 km/h un secīgi 31-40 km/h.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“Ceļu satiksmes drošības plāna 2021.-2027.gadam starpposma ietekmes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Informatīvā ziņojuma 4.lpp. pirmajā rindkopā noteikts, ka: “plāna mērķis ir līdz 2030. gadam samazināt ceļu satiksmes negadījumos bojāgājušo un smagi ievainoto skaitu par 50 % salīdzinājumā ar 2020. gadu”. Savukārt informatīvā ziņojuma 5. lpp. pirmajā rindkopā noteikts, ka: "ES ir uzstādījusi mērķi līdz 2030.gadam samazināt uz pusi CSNg bojāgājušo skaitu salīdzinājumā ar 2019.gadu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lūdzu pārskatīt, vai ir norādīts pareizs izejošais gada skaitlis, lai novērstu atšķirības starp informatīvā ziņojuma 4. lpp. pirmajā rindkopā un 5. lpp. pirmajā rindkopā minēto gada skaitli.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Informatīvā ziņojuma 5. lpp. 4. atsaucē atšķiras dotie statistikas dati salīdzinājumā ar 3. atsaucē minēto avotu, savukārt 5.avotā norādīts cits procentuālais pieaugums (proti, 4%, nevis 5%), kā tas minēts informatīvā ziņojuma tekstā - informatīvā ziņojuma 6. lpp. 4.attēls. Ņemot vērā minēto, lūgums precizēt informatīvo ziņojumu.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Informatīvā ziņojuma 9. lpp. ceturtajā rindkopā noteikts, ka: "Laika posmā no 2012. līdz 2021. gadam bojāgājušo skaits Latvijā samazinājās par vairāk nekā 15 %, kas ir mazāk nekā ES samazinājums (25 %). Smagu ievainojumu skaits tajā pašā periodā ir nedaudz samazinājies (par 0,6 %)". No teksta nav precīzi saprotams, ar ko šie dati tiek salīdzināti un kāds ir bāzes gada skaitlis. Ņemot vērā minēto, lūgums papildināt informatīvā ziņojuma 9. lpp. ceturto rindkopu ar attiecīgu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Informatīvā ziņojuma 13. lpp. piektajā rindkopā noteikts, ka: "Trendline projekta ietvaros dažādās Latvijas vietās, dažādās nedēļas dienās un laikos tika veikts ļoti liels skaits novērojumu." Lūgums aizstāt vārdus "tika veikts ļoti liels skaits novērojumu" ar vārdiem "veikti sekojoši novērojumi".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Informatīvā ziņojuma 6. tabulas 12. punkta atskaitē ir ietverti tikai Satiksmes ministrijas virzītie grozījumi Ceļu satiksmes likumā. Bez šiem grozījumiem ir bijuši arī citi, ko virzījusi Iekšlietu ministrija, un kas stājušies spēkā 2023. un 2024. gadā,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“trokšņojoša” transportlīdzekļa izmantošanu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transportlīdzekļa vadīšanu, ja saskaņā ar Administratīvās atbildības likuma 73. pantu piemērots procesuālais piespiedu līdzeklis – transportlīdzekļu vadīšanas tiesību izmantošanas apturēšana.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informatīvā ziņojuma 6. tabulas 12. punkta ailē (rezultatīvais rādītājs) ietverts nekorekts skaidrojums, proti, “Stingrāku prasību un sodu noteikšana par noteiktiem pārkāpumiem (piemēram, pieļaujamās sodīšanas robežas samazināšana (atcelts +10km/h))”. Valsts policija norāda, ka priekšlikums par soda sankciju celšanu par ātruma pārkāpumiem līdz 10 km/h ir nevis atcelts, bet nav guvis atbalstu Saeimā.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Informatīvā ziņojuma 7. tabulas 6. punkta ailē (rezultatīvais rādītājs), ietverts nekorekts skaidrojums, proti, “Stingrāku prasību un sodu noteikšana par noteiktiem pārkāpumiem (piemēram, pieļaujamās sodīšanas robežas samazināšana (atcelts +10km/h))”. Valsts policija norāda, ka priekšlikums par soda sankciju celšanu par ātruma pārkāpumiem līdz 10 km/h ir nevis atcelts, bet nav guvis atbalstu Saeimā.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“Ceļu satiksmes drošības plāna 2021.-2027.gadam starpposma ietekmes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satiksmes drošības plāna 2021.-2027.gadam starpposma ietekmes izvērtējuma 50.lpp. ir iekļauta neprecīza informācija par VRS 2021.gada pasākuma kopējām izmaksām. Kopējās izmaksas 2021.gadā - 11502.02 EUR (norādīts 18256 EUR, t.i. plānotā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Kopējās izmaksas precizētas.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Turpināt īstenot Ceļu satiksmes drošības plānu 2021.-2027.gadam, ņemot vērā informatīvajā ziņojumā ietvertos priekšlikumus turpmākai rīcībai.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ziņojumā norādīto, lūdzam papildināt MK protokollēmuma projekta 2.punktu aiz vārda “rīcībai” ar vārdiem “ministrijām nodrošinot to īstenošanu pieejamā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MK protokollēmuma 2.punkts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Turpināt īstenot Ceļu satiksmes drošības plānu 2021.-2027.gadam, ņemot vērā informatīvajā ziņojumā ietvertos priekšlikumus turpmākai rīcībai, ministrijām nodrošinot to īstenošanu pieejamā finansējuma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“Ceļu satiksmes drošības plāna 2021.-2027.gadam starpposma ietekmes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izvērtējama 4. sadaļas “Plānā paredzēto pasākumu izpildes novērtējums” 6. tabulas 4.3. rīcības virziena “Droša vide”  2. pasākuma “Veikt pilsētu un pašvaldības ceļu un ielu infrastruktūras uzlabošanu” norādītajā informācijā par izpildi (45. lpp.) pirmo rindkopu izteikt turpmāk tekstā piedāvātajā redakcijā, ņemot vērā, ka ar Ministru kabineta 2024. gada 4. jūnija noteikumiem Nr. 334 "Grozījumi Ministru kabineta 2024. gada 16. janvāra noteikumos Nr. 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 tika mainīts pasākumam 5.1.1.1. pieejamais Eiropas Reģionālās attīstības fonda finansējums no  133 110 000 euro uz 130 037 695 euro, kā arī pirmajā rindkopā pieminētajos pasākumos ieguldījumi satiksmes infrastruktūras uzlabošanā ir tikai viena daļa no visu iespējamo izmaksu kopuma un ieguldījumi, kas šo pasākumu ietvaros tiks veikti uzņēmējdarbībai nepieciešamo ēku un teritoriju attīstībā nav attiecināmi uz Ceļu satiksmes drošības plānu 2021.-2027.gadam.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ieguldījumiem pašvaldību pārvaldībā esošo autoceļu un ielu tīkla uzlabošanā,  VARAM pārziņā esošo ES kohēzijas politikas programmas 2021.–2027. gadam pasākumu 5.1.1.1. “Infrastruktūra uzņēmējdarbības atbalstam” (turpmāk – pasākums 5.1.1.1.) un 6.1.1.3. “Atbalsts uzņēmējdarbībai nepieciešamās publiskās infrastruktūras attīstībai, veicinot pāreju uz klimatneitrālu ekonomiku” (turpmāk – pasākums 6.1.1.3.) ietvaros pašvaldībām ir sniegta iespēja piesaistīt ES fondu līdzekļus tādu pašvaldības ielu, ceļu un citas publiskās infrastruktūras uzlabošanai, kas nepieciešama komersantu vajadzībās balstītas infrastruktūras attīstīšanai. Šajos ES fondu pasākumos, līdztekus uzņēmējdarbības mērķiem nepieciešamu ēku un uzņēmējdarbības teritoriju attīstīšanai, kā attiecināmās izmaksas ir paredzētas arī satiksmes pārvadu, ielu, ceļu (tai skaitā ar grants segumu, ja būvē jaunu ceļu, caurteku) infrastruktūras attīstības un ar to saistītās infrastruktūras (piemēram, stāvlaukumi, pieturvietas) būvniecības, pārbūves vai atjaunošanas izmaksas. Pašvaldībām pasākumā 5.1.1.1. ir pieejams ES fondu (Eiropas Reģionālās attīstības fonda) finansējums 130 037 695 euro apmērā, un pasākumā 6.1.1.3. ir pieejams ES fondu (Taisnīgas pārkārtošanās fonda) finansējums 49 279 779 euro apmērā. Projektu iesniegumu iesniegšana pasākumā 6.1.1.3. tika uzsākta 2023. gada IV. ceturksnī, savukārt pasākumā 5.1.1.1. 2024. gada I. ceturksnī. Pasākuma 6.1.1.3. ietvaros projektus var īstenot līdz 2026. gada 31. decembrim, savukārt pasākuma 5.1.1.1. ietvaros – līdz 2029. gada 31. decembrim. Iespējas uzlabot pašvaldības ceļu un ielu infrastruktūru līdztekus uzņēmējdarbības mērķiem nepieciešamu ēku un uzņēmējdarbības teritoriju attīstīšanai bija arī Atveseļošanas fonda 3.1.1.3.i. “Investīcijas uzņēmējdarbības publiskajā infrastruktūrā industriālo parku un teritoriju attīstīšanai reģionos” ietvaros (Atveseļošanas fonda finansējums 80 milj. euro), kurā līgumi par projektu īstenošanu noslēgti 2024. gada 1. ceturksnī.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Latvijas Atveseļošanas un noturības mehānisma plāna 3.1.1.1.i. investīcijas “Valsts reģionālo un vietējo autoceļu tīkla uzlabošana” ietvaros tiek veikta  esošo valsts reģionālo un vietējo autoceļu pārbūve un atjaunošana, kas ļaus droši un ātri pārvietoties pa Latvijas teritoriju, kā arī atsevišķos gadījumos uzlabos mazāk aizsargāto ceļu satiksmes dalībnieku drošību.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“Ceļu satiksmes drošības plāna 2021.-2027.gadam starpposma ietekmes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Informatīvā ziņojuma 4.sadaļā "Plānā paredzēto pasākumu izpildes novērtējums" 6.tabulā minētā uzdevuma izpildi (41.lpp) -</w:t>
            </w:r>
            <w:r w:rsidR="00000000" w:rsidRPr="00000000" w:rsidDel="00000000">
              <w:rPr>
                <w:i w:val="1"/>
                <w:rtl w:val="0"/>
              </w:rPr>
              <w:t xml:space="preserve">Izstrādāt aplikāciju ceļu satiksmes kontrolei un uzraudzībai, kas noteiktu dažādus satiksmes pārkāpumus un dotu iespēju satiksmes dalībniekiem operatīvi informēt VP par konstatētiem pārkāpumiem</w:t>
            </w:r>
            <w:r w:rsidR="00000000" w:rsidRPr="00000000" w:rsidDel="00000000">
              <w:rPr>
                <w:rtl w:val="0"/>
              </w:rPr>
              <w:t xml:space="preserve">. Ņemot vērā, ka 2024.gada 14.oktobrī savā vēstulē (vēstule Nr. 14-1-5/16255/24) Valsts policija pauž viedokli, ka ir izstrādāta bezmaksas lietotne “112 Latvija”, kurā jau tagad iespējams nodot informāciju operatīvajiem dienestiem, tostarp Valsts policijai, Valsts policija norāda, ka nesaredz nepieciešamību izstrādāt Ceļu satiksmes drošības plānā minēto – jaunu mobilo aplikāciju, līdz ar to lūdzam uzskatīt iepriekš minēto uzdevumu par izpildītu.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6.tabulas 10.punkts.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“Ceļu satiksmes drošības plāna 2021.-2027.gadam starpposma ietekmes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Informatīvā ziņojuma Ievada pirmo un otro rindkopu (4.lapa) ar atsaucēm uz Ministru kabineta 2021.gada 6.oktobra rīkojumu Nr. 712. Proti, ar minētā rīkojuma 1.punktu ir atbalstīts Ceļu satiksmes drošības plāns 2021.-2027. gadam, bet tā 3. punkts paredz uzdevumu Satiksmes ministrijai sagatavot un satiksmes ministram līdz 2025. gada 1. janvārim iesniegt noteiktā kārtībā Ministru kabinetā plāna starpposma ietekmes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ievads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“Ceļu satiksmes drošības plāna 2021.-2027.gadam starpposma ietekmes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52. un 60. lpp. cita starpā ir atsauces uz administratīvā pārkāpuma protokolu. Informējam, ka Administratīvās atbildības likums vairs neparedzēs tādu dokumenta veidu kā administratīvā pārkāpuma protokols – tā vietā ir lēmums par soda piemērošanu. Ievērojot minēto, lūdzam precizēt informatīvā ziņojuma projektu, administratīvā pārkāpuma protokolu aizstājot ar lēmumu par soda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“Ceļu satiksmes drošības plāna 2021.-2027.gadam starpposma ietekmes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6.tabulā (45.lapā) norādīto informāciju, jo atbilstoši Ministru kabineta 2024.gada 16.janvāra noteikumiem Nr.55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 Eiropas Reģionālās attīstības fonda finansējums 5.1.1.1.pasākuma īstenošanai ir plānots 130 037 695 euro, nevis 133 110 000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6.tabulas 2.punkts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“Ceļu satiksmes drošības plāna 2021.-2027.gadam starpposma ietekmes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(LTAB - 08.10.2024.)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Informatīvā ziņojuma 27.lpp. sadaļā "Informācija par izpildi"</w:t>
            </w:r>
            <w:r w:rsidR="00000000" w:rsidRPr="00000000" w:rsidDel="00000000">
              <w:rPr>
                <w:rtl w:val="0"/>
              </w:rPr>
              <w:t xml:space="preserve"> (par 3.punktu  "Īstenot ceļu satiksmes dalībnieku izglītošanas pasākumus") </w:t>
            </w:r>
            <w:r w:rsidR="00000000" w:rsidRPr="00000000" w:rsidDel="00000000">
              <w:rPr>
                <w:b w:val="1"/>
                <w:rtl w:val="0"/>
              </w:rPr>
              <w:t xml:space="preserve">aiz 5.punkta iekļaut šādu rindkopu:</w:t>
            </w:r>
            <w:r w:rsidR="00000000" w:rsidRPr="00000000" w:rsidDel="00000000">
              <w:rPr>
                <w:rtl w:val="0"/>
              </w:rPr>
              <w:t xml:space="preserve"> "6.Biedrība “Latvijas Transportlīdzekļu apdrošinātāju birojs” katru gadu organizē ceļu satiksmes dalībnieku izglītošanas pasākumus par transportlīdzekļu vadītāju izglītošanu par Saskaņotā paziņojuma, t.sk. mobilā Saskaņotā paziņojuma izmantošanu, tādējādi samazinot Valsts policijas resursu izmantošanu CSNg fiksēšanā, kā arī informējot par pareizu un atbildīgu rīcību pēc CSNg (kad izsaukt palīdzību, kad drīkst/nedrīkst aizpildīt Saskaņoto paziņojumu), kā pareizi aizpildīt Saskaņoto paziņojumu. Vienlaikus tika nodrošināta plašāka drukāto Saskaņotā paziņojuma pieejamība, t.sk. degvielas uzpildes stacijās un citur (Projekta izmaksas EUR 30 000 - 45 000 EUR).".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Tālāk 4.punktā "Īstenot informatīvās kampaņas par ceļu satiksmes drošību"  sadaļā "Informācija par izpildi" aiz 1. punkta iekļaut šādu rindkopu: </w:t>
            </w:r>
            <w:r w:rsidR="00000000" w:rsidRPr="00000000" w:rsidDel="00000000">
              <w:rPr>
                <w:rtl w:val="0"/>
              </w:rPr>
              <w:t xml:space="preserve">"2022. un 2023. gadā biedrība “Latvijas Transportlīdzekļu apdrošinātāju birojs” īstenoja izglītojošos pasākumus par OCTA un TA esamības nepieciešamību, vēršot uzmanību uz to, ka tas ir drošības garants pašiem autovadītājiem, pasažieriem un citiem ceļu satiksmes satiksmes dalībniekiem. Tāpat autoīpašnieki tika informēti par dažādām iespējām saņemt informāciju un atgādinājumus par OCTA un TA derīgumu, lai izvairītos no situācijām, kad nokavē to termiņu beigas, kā arī aicināti pašiem sekot līdzi šai informācijai. (Projekta izmaksas EUR 30 000 - 40 000). 2024.gadā biedrība “Latvijas Transportlīdzekļu apdrošinātāju birojs”  organizēja kampaņu “Ja šaubies – pārbaudi!”, kuras ietvaros interesenti tika informēti par iespējām pārbaudīt transportlīdzekļu negadījumu vēsturi LTAB mājas lapā un mobilajā lietotnē, kā arī par transportlīdzekļa tehniskās vēstures pārbaudi CSDD mājas lapā vai mobilajā lietotnē un potenciālie lietoto auto pircēji informēti par sekām, kādas tie var izraisīt.", </w:t>
            </w:r>
            <w:r w:rsidR="00000000" w:rsidRPr="00000000" w:rsidDel="00000000">
              <w:rPr>
                <w:b w:val="1"/>
                <w:rtl w:val="0"/>
              </w:rPr>
              <w:t xml:space="preserve">un izslēgt šādu rindkopu:</w:t>
            </w:r>
            <w:r w:rsidR="00000000" w:rsidRPr="00000000" w:rsidDel="00000000">
              <w:rPr>
                <w:rtl w:val="0"/>
              </w:rPr>
              <w:t xml:space="preserve">"biedrība “Latvijas Transportlīdzekļu apdrošinātāju birojs” katru gadu rīko informatīvas kampaņas, kuru laikā ceļu satiksmes dalībnieki tiek informēti par pareizu un atbildīgu rīcību pēc CSNg, par Saskaņotā paziņojuma izmantošanu un pareizu aizpildīšanu. (Projekta kopējās izmaksas 40 000 EUR).", </w:t>
            </w:r>
            <w:r w:rsidR="00000000" w:rsidRPr="00000000" w:rsidDel="00000000">
              <w:rPr>
                <w:b w:val="1"/>
                <w:rtl w:val="0"/>
              </w:rPr>
              <w:t xml:space="preserve">kā arī izslēgt 12.punktu:</w:t>
            </w:r>
            <w:r w:rsidR="00000000" w:rsidRPr="00000000" w:rsidDel="00000000">
              <w:rPr>
                <w:rtl w:val="0"/>
              </w:rPr>
              <w:t xml:space="preserve"> "biedrība “Latvijas Transportlīdzekļu apdrošinātāju birojs” 2024.gadā organizēja kampaņu “Ja šaubies – pārbaudi!”, kuras ietvaros interesenti tika informēti par iespējām pārbaudīt transportlīdzekļu negadījumu vēsturi LTAB mājas lapā un mobilajā lietotnē, kā arī par transportlīdzekļa tehniskās vēstures pārbaudi CSDD mājas lapā vai mobilajā lietotnē un potenciālie lietoto auto pircēji informēti par sekām, kādas tie var izraisīt iegādājoties CSNg iepriekš cietušu spēkratu ar būtiskiem tehniskiem defektiem. (Projekta kopējās izmaksas 45 000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24-TA-1800</w:t>
    </w:r>
    <w:r>
      <w:br/>
    </w:r>
    <w:r w:rsidR="00000000" w:rsidRPr="00000000" w:rsidDel="00000000">
      <w:rPr>
        <w:rtl w:val="0"/>
      </w:rPr>
      <w:t xml:space="preserve">24.02.2025. 19.44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24-TA-1800</w:t>
    </w:r>
    <w:r>
      <w:br/>
    </w:r>
    <w:r w:rsidR="00000000" w:rsidRPr="00000000" w:rsidDel="00000000">
      <w:rPr>
        <w:rtl w:val="0"/>
      </w:rPr>
      <w:t xml:space="preserve">24.02.2025. 19.44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Izziņa_24-TA-1800.docx</dc:title>
</cp:coreProperties>
</file>

<file path=docProps/custom.xml><?xml version="1.0" encoding="utf-8"?>
<Properties xmlns="http://schemas.openxmlformats.org/officeDocument/2006/custom-properties" xmlns:vt="http://schemas.openxmlformats.org/officeDocument/2006/docPropsVTypes"/>
</file>