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8CA1D" w14:textId="77777777" w:rsidR="00F44FDD" w:rsidRDefault="00F44FDD" w:rsidP="00F44FDD">
      <w:pPr>
        <w:rPr>
          <w:rFonts w:eastAsia="Times New Roman"/>
          <w:lang w:val="en-US"/>
        </w:rPr>
      </w:pPr>
      <w:r>
        <w:rPr>
          <w:rFonts w:eastAsia="Times New Roman"/>
          <w:b/>
          <w:bCs/>
          <w:lang w:val="en-US"/>
        </w:rPr>
        <w:t>From:</w:t>
      </w:r>
      <w:r>
        <w:rPr>
          <w:rFonts w:eastAsia="Times New Roman"/>
          <w:lang w:val="en-US"/>
        </w:rPr>
        <w:t xml:space="preserve"> Linda Bernāne &lt;Linda.Bernane@tm.gov.lv&gt; </w:t>
      </w:r>
      <w:r>
        <w:rPr>
          <w:rFonts w:eastAsia="Times New Roman"/>
          <w:lang w:val="en-US"/>
        </w:rPr>
        <w:br/>
      </w:r>
      <w:r>
        <w:rPr>
          <w:rFonts w:eastAsia="Times New Roman"/>
          <w:b/>
          <w:bCs/>
          <w:lang w:val="en-US"/>
        </w:rPr>
        <w:t>Sent:</w:t>
      </w:r>
      <w:r>
        <w:rPr>
          <w:rFonts w:eastAsia="Times New Roman"/>
          <w:lang w:val="en-US"/>
        </w:rPr>
        <w:t xml:space="preserve"> </w:t>
      </w:r>
      <w:proofErr w:type="spellStart"/>
      <w:r>
        <w:rPr>
          <w:rFonts w:eastAsia="Times New Roman"/>
          <w:lang w:val="en-US"/>
        </w:rPr>
        <w:t>otrdiena</w:t>
      </w:r>
      <w:proofErr w:type="spellEnd"/>
      <w:r>
        <w:rPr>
          <w:rFonts w:eastAsia="Times New Roman"/>
          <w:lang w:val="en-US"/>
        </w:rPr>
        <w:t xml:space="preserve">, 2021. </w:t>
      </w:r>
      <w:proofErr w:type="spellStart"/>
      <w:r>
        <w:rPr>
          <w:rFonts w:eastAsia="Times New Roman"/>
          <w:lang w:val="en-US"/>
        </w:rPr>
        <w:t>gada</w:t>
      </w:r>
      <w:proofErr w:type="spellEnd"/>
      <w:r>
        <w:rPr>
          <w:rFonts w:eastAsia="Times New Roman"/>
          <w:lang w:val="en-US"/>
        </w:rPr>
        <w:t xml:space="preserve"> 2. </w:t>
      </w:r>
      <w:proofErr w:type="spellStart"/>
      <w:r>
        <w:rPr>
          <w:rFonts w:eastAsia="Times New Roman"/>
          <w:lang w:val="en-US"/>
        </w:rPr>
        <w:t>novembris</w:t>
      </w:r>
      <w:proofErr w:type="spellEnd"/>
      <w:r>
        <w:rPr>
          <w:rFonts w:eastAsia="Times New Roman"/>
          <w:lang w:val="en-US"/>
        </w:rPr>
        <w:t xml:space="preserve"> 16:24</w:t>
      </w:r>
      <w:r>
        <w:rPr>
          <w:rFonts w:eastAsia="Times New Roman"/>
          <w:lang w:val="en-US"/>
        </w:rPr>
        <w:br/>
      </w:r>
      <w:r>
        <w:rPr>
          <w:rFonts w:eastAsia="Times New Roman"/>
          <w:b/>
          <w:bCs/>
          <w:lang w:val="en-US"/>
        </w:rPr>
        <w:t>To:</w:t>
      </w:r>
      <w:r>
        <w:rPr>
          <w:rFonts w:eastAsia="Times New Roman"/>
          <w:lang w:val="en-US"/>
        </w:rPr>
        <w:t xml:space="preserve"> Pasts &lt;Pasts@fm.gov.lv&gt;</w:t>
      </w:r>
      <w:r>
        <w:rPr>
          <w:rFonts w:eastAsia="Times New Roman"/>
          <w:lang w:val="en-US"/>
        </w:rPr>
        <w:br/>
      </w:r>
      <w:r>
        <w:rPr>
          <w:rFonts w:eastAsia="Times New Roman"/>
          <w:b/>
          <w:bCs/>
          <w:lang w:val="en-US"/>
        </w:rPr>
        <w:t>Cc:</w:t>
      </w:r>
      <w:r>
        <w:rPr>
          <w:rFonts w:eastAsia="Times New Roman"/>
          <w:lang w:val="en-US"/>
        </w:rPr>
        <w:t xml:space="preserve"> Ilze Māliņa &lt;Ilze.Malina@TM.GOV.LV&gt;; Ilze Baranovska &lt;Ilze.Baranovska@tm.gov.lv&gt;; Iveta </w:t>
      </w:r>
      <w:proofErr w:type="spellStart"/>
      <w:r>
        <w:rPr>
          <w:rFonts w:eastAsia="Times New Roman"/>
          <w:lang w:val="en-US"/>
        </w:rPr>
        <w:t>Gedus</w:t>
      </w:r>
      <w:proofErr w:type="spellEnd"/>
      <w:r>
        <w:rPr>
          <w:rFonts w:eastAsia="Times New Roman"/>
          <w:lang w:val="en-US"/>
        </w:rPr>
        <w:t xml:space="preserve"> &lt;Iveta.Gedus@tm.gov.lv&gt;; Eva </w:t>
      </w:r>
      <w:proofErr w:type="spellStart"/>
      <w:r>
        <w:rPr>
          <w:rFonts w:eastAsia="Times New Roman"/>
          <w:lang w:val="en-US"/>
        </w:rPr>
        <w:t>Krjukova</w:t>
      </w:r>
      <w:proofErr w:type="spellEnd"/>
      <w:r>
        <w:rPr>
          <w:rFonts w:eastAsia="Times New Roman"/>
          <w:lang w:val="en-US"/>
        </w:rPr>
        <w:t xml:space="preserve"> &lt;Eva.Krjukova@tm.gov.lv&gt;</w:t>
      </w:r>
      <w:r>
        <w:rPr>
          <w:rFonts w:eastAsia="Times New Roman"/>
          <w:lang w:val="en-US"/>
        </w:rPr>
        <w:br/>
      </w:r>
      <w:r>
        <w:rPr>
          <w:rFonts w:eastAsia="Times New Roman"/>
          <w:b/>
          <w:bCs/>
          <w:lang w:val="en-US"/>
        </w:rPr>
        <w:t>Subject:</w:t>
      </w:r>
      <w:r>
        <w:rPr>
          <w:rFonts w:eastAsia="Times New Roman"/>
          <w:lang w:val="en-US"/>
        </w:rPr>
        <w:t xml:space="preserve"> </w:t>
      </w:r>
      <w:proofErr w:type="spellStart"/>
      <w:r>
        <w:rPr>
          <w:rFonts w:eastAsia="Times New Roman"/>
          <w:lang w:val="en-US"/>
        </w:rPr>
        <w:t>Atb</w:t>
      </w:r>
      <w:proofErr w:type="spellEnd"/>
      <w:r>
        <w:rPr>
          <w:rFonts w:eastAsia="Times New Roman"/>
          <w:lang w:val="en-US"/>
        </w:rPr>
        <w:t xml:space="preserve">.: </w:t>
      </w:r>
      <w:proofErr w:type="spellStart"/>
      <w:r>
        <w:rPr>
          <w:rFonts w:eastAsia="Times New Roman"/>
          <w:lang w:val="en-US"/>
        </w:rPr>
        <w:t>likumprojekts</w:t>
      </w:r>
      <w:proofErr w:type="spellEnd"/>
      <w:r>
        <w:rPr>
          <w:rFonts w:eastAsia="Times New Roman"/>
          <w:lang w:val="en-US"/>
        </w:rPr>
        <w:t xml:space="preserve"> (VSS – 754)</w:t>
      </w:r>
    </w:p>
    <w:p w14:paraId="020EB7E5" w14:textId="77777777" w:rsidR="00F44FDD" w:rsidRDefault="00F44FDD" w:rsidP="00F44FDD"/>
    <w:p w14:paraId="09B17B53" w14:textId="77777777" w:rsidR="00F44FDD" w:rsidRDefault="00F44FDD" w:rsidP="00F44FDD">
      <w:pPr>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Tieslietu ministrija ir izskatījusi Finanšu ministrijas precizēto </w:t>
      </w:r>
      <w:bookmarkStart w:id="0" w:name="_Hlk8911507"/>
      <w:r>
        <w:rPr>
          <w:rFonts w:ascii="Times New Roman" w:hAnsi="Times New Roman" w:cs="Times New Roman"/>
          <w:color w:val="000000"/>
          <w:sz w:val="24"/>
          <w:szCs w:val="24"/>
        </w:rPr>
        <w:t>likumprojektu ""Eiropas Savienības fondu 2021.-2027. gada plānošanas perioda vadības likums" (turpmāk</w:t>
      </w:r>
      <w:bookmarkStart w:id="1" w:name="_Hlk34642406"/>
      <w:r>
        <w:rPr>
          <w:rFonts w:ascii="Times New Roman" w:hAnsi="Times New Roman" w:cs="Times New Roman"/>
          <w:color w:val="000000"/>
          <w:sz w:val="24"/>
          <w:szCs w:val="24"/>
        </w:rPr>
        <w:t xml:space="preserve"> – likumprojekts) </w:t>
      </w:r>
      <w:bookmarkEnd w:id="0"/>
      <w:bookmarkEnd w:id="1"/>
      <w:r>
        <w:rPr>
          <w:rFonts w:ascii="Times New Roman" w:hAnsi="Times New Roman" w:cs="Times New Roman"/>
          <w:color w:val="000000"/>
          <w:sz w:val="24"/>
          <w:szCs w:val="24"/>
        </w:rPr>
        <w:t>un ar to saistītos dokumentus un atbalsta tā virzību, izsakot šādus iebildumus: </w:t>
      </w:r>
    </w:p>
    <w:p w14:paraId="78D4DC4B" w14:textId="77777777" w:rsidR="00F44FDD" w:rsidRDefault="00F44FDD" w:rsidP="00F44FDD">
      <w:pPr>
        <w:spacing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w:t>
      </w:r>
    </w:p>
    <w:p w14:paraId="19142279" w14:textId="77777777" w:rsidR="00F44FDD" w:rsidRDefault="00F44FDD" w:rsidP="00F44FDD">
      <w:pPr>
        <w:spacing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1. Atkārtoti vēršam uzmanību uz to, ka Ministru kabineta 2009. gada 3. februāra noteikumu Nr. 108 "Normatīvo aktu projektu sagatavošanas noteikumi" 3.1. apakšpunkts noteic, ka normatīvā akta projektā neietver normas, kas ir deklaratīvas. Savukārt projekta 5. panta pirmajā un otrajā teikumā ir paredzēts deklaratīvs regulējums.  </w:t>
      </w:r>
    </w:p>
    <w:p w14:paraId="347B429E" w14:textId="77777777" w:rsidR="00F44FDD" w:rsidRDefault="00F44FDD" w:rsidP="00F44FDD">
      <w:pPr>
        <w:spacing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Vienlaikus vēršam uzmanību uz to, ka Augstākās tiesas Administratīvo lietu departaments jau vairākkārtīgi ir paudis savas atziņas par negatīvu administratīvo aktu </w:t>
      </w:r>
      <w:r>
        <w:rPr>
          <w:rFonts w:ascii="Times New Roman" w:hAnsi="Times New Roman" w:cs="Times New Roman"/>
          <w:i/>
          <w:iCs/>
          <w:color w:val="000000"/>
          <w:sz w:val="24"/>
          <w:szCs w:val="24"/>
        </w:rPr>
        <w:t>(skat, piemēram, Augstākās tiesas 2007. gada 14. marta spriedumu lietā SKA-84/2007, Augstākās tiesas 2015. gada 12. marta spriedumu lietā SKA-369/2015)</w:t>
      </w:r>
      <w:r>
        <w:rPr>
          <w:rFonts w:ascii="Times New Roman" w:hAnsi="Times New Roman" w:cs="Times New Roman"/>
          <w:color w:val="000000"/>
          <w:sz w:val="24"/>
          <w:szCs w:val="24"/>
        </w:rPr>
        <w:t xml:space="preserve">. Līdz ar to nav saprotams, kādēļ nepieciešams projekta 5. panta otrajā teikumā paredzētais regulējums. Turklāt citos normatīvajos aktos, kuros ir noteikts līdzīgs regulējums par iestādes izdotu administratīvo aktu, kas paredz atteikumu piešķirt personai kādu labumu, kuru viņa vēlas saņemt (t.sk., likumprojektā "Eiropas Sociālā fonda Plus programmas materiālās </w:t>
      </w:r>
      <w:proofErr w:type="spellStart"/>
      <w:r>
        <w:rPr>
          <w:rFonts w:ascii="Times New Roman" w:hAnsi="Times New Roman" w:cs="Times New Roman"/>
          <w:color w:val="000000"/>
          <w:sz w:val="24"/>
          <w:szCs w:val="24"/>
        </w:rPr>
        <w:t>nenodrošinātības</w:t>
      </w:r>
      <w:proofErr w:type="spellEnd"/>
      <w:r>
        <w:rPr>
          <w:rFonts w:ascii="Times New Roman" w:hAnsi="Times New Roman" w:cs="Times New Roman"/>
          <w:color w:val="000000"/>
          <w:sz w:val="24"/>
          <w:szCs w:val="24"/>
        </w:rPr>
        <w:t xml:space="preserve"> mazināšanai 2021.-2027. gada plānošanas perioda vadības likums" (21-TA-52)), netiek paredzēts regulējums, kas ietverts projekta 5. panta otrajā teikumā. Ievērojot minēto, atkārtoti lūdzam izslēgt projekta 5. pantu vai papildināt projekta sākotnējās </w:t>
      </w:r>
      <w:r>
        <w:rPr>
          <w:rFonts w:ascii="Times New Roman" w:hAnsi="Times New Roman" w:cs="Times New Roman"/>
          <w:i/>
          <w:iCs/>
          <w:color w:val="000000"/>
          <w:sz w:val="24"/>
          <w:szCs w:val="24"/>
        </w:rPr>
        <w:t>(</w:t>
      </w:r>
      <w:proofErr w:type="spellStart"/>
      <w:r>
        <w:rPr>
          <w:rFonts w:ascii="Times New Roman" w:hAnsi="Times New Roman" w:cs="Times New Roman"/>
          <w:i/>
          <w:iCs/>
          <w:color w:val="000000"/>
          <w:sz w:val="24"/>
          <w:szCs w:val="24"/>
        </w:rPr>
        <w:t>ex-ante</w:t>
      </w:r>
      <w:proofErr w:type="spellEnd"/>
      <w:r>
        <w:rPr>
          <w:rFonts w:ascii="Times New Roman" w:hAnsi="Times New Roman" w:cs="Times New Roman"/>
          <w:i/>
          <w:iCs/>
          <w:color w:val="000000"/>
          <w:sz w:val="24"/>
          <w:szCs w:val="24"/>
        </w:rPr>
        <w:t>)</w:t>
      </w:r>
      <w:r>
        <w:rPr>
          <w:rFonts w:ascii="Times New Roman" w:hAnsi="Times New Roman" w:cs="Times New Roman"/>
          <w:color w:val="000000"/>
          <w:sz w:val="24"/>
          <w:szCs w:val="24"/>
        </w:rPr>
        <w:t> ietekmes novērtējuma ziņojumu (turpmāk – anotācija) ar skaidrojumu, kādēļ projektā nepieciešams attiecīgais regulējums.  </w:t>
      </w:r>
    </w:p>
    <w:p w14:paraId="77B765E3" w14:textId="77777777" w:rsidR="00F44FDD" w:rsidRDefault="00F44FDD" w:rsidP="00F44FDD">
      <w:pPr>
        <w:spacing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2. Izziņas par atzinumos sniegtajiem iebildumiem II sadaļas 55. punktā ir norādīts, ka nav ņemts vērā iebildums par to, ka nepieciešams precizēt projekta 24. panta otrajā daļā paredzēto regulējumu par privātpersonu atbilstoši Administratīvā procesa likuma 1. panta astotajā daļā paredzētajam regulējumam par privātpersonu. Savukārt no precizētā projekta 1. panta 2. punktā paredzētā regulējuma, kas saistīts ar projekta 24. panta otrajā daļā paredzēto regulējumu, izriet, ka iepriekš minētais iebildums ir daļēji ņemts vērā. Ievērojot minēto, lūdzam precizēt izziņas par atzinumos sniegtajiem iebildumiem II sadaļas 55. punktā ietverto informāciju.  </w:t>
      </w:r>
    </w:p>
    <w:p w14:paraId="51CCA209" w14:textId="77777777" w:rsidR="00F44FDD" w:rsidRDefault="00F44FDD" w:rsidP="00F44FDD">
      <w:pPr>
        <w:spacing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No projektā (piemēram, no projekta 1. panta 4. punktā, 24. panta trešajā daļā) paredzētā regulējuma izriet, ka tajā tiek lietoti Valsts pārvaldes iekārtas likuma 1. pantā paredzētie termini, tomēr nav skaidrs, kas tiek saprasts ar terminu "cita valsts iestāde". Izziņas par atzinumos sniegtajiem iebildumiem II sadaļas 56. punktā ir norādīts, ka projektā minētā "cita valsts iestāde" ir iestāde, kura nav Ministru kabineta padotībā, piemēram, Valsts kontrole, Latvijas Banka, Finanšu un kapitāla tirgus komisija. </w:t>
      </w:r>
      <w:r>
        <w:rPr>
          <w:rFonts w:ascii="Times New Roman" w:hAnsi="Times New Roman" w:cs="Times New Roman"/>
          <w:color w:val="000000"/>
          <w:sz w:val="24"/>
          <w:szCs w:val="24"/>
        </w:rPr>
        <w:lastRenderedPageBreak/>
        <w:t>Savukārt ne no projektā, ne anotācijā minētā tas neizriet. Ievērojot minēto, lūdzam precizēt projektu vai papildināt anotāciju ar atbilstošu skaidrojumu.  </w:t>
      </w:r>
    </w:p>
    <w:p w14:paraId="327114C1" w14:textId="77777777" w:rsidR="00F44FDD" w:rsidRDefault="00F44FDD" w:rsidP="00F44FDD">
      <w:pPr>
        <w:spacing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4. Atkārtoti norādām, ka likumprojekta 19. pants nosaka finansējuma saņēmēja pienākumus un tiesības, kur 19. panta 9. punkts finansējuma saņēmējam uzliek pienākumu nodrošināt Eiropas Savienības fondu vadībā iesaistīto institūciju, Eiropas Komisijas, Eiropas Biroja krāpšanas apkarošanai, Eiropas Prokuratūras, Eiropas Revīzijas palātas un Iepirkumu uzraudzības biroja pārstāvjiem pieeju visu ar projekta īstenošanu saistīto dokumentu oriģināliem un grāmatvedības sistēmai, kā arī attiecīgā projekta īstenošanas vietai.  </w:t>
      </w:r>
    </w:p>
    <w:p w14:paraId="3735EFA7" w14:textId="77777777" w:rsidR="00F44FDD" w:rsidRDefault="00F44FDD" w:rsidP="00F44FDD">
      <w:pPr>
        <w:spacing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Noradām, ka iepriekš minētais finansējuma saņēmējam uzliktais pienākums nav ierobežots ar saprātīgu termiņu. Izsakām bažas, ka šādi formulēts neterminēts pienākums, iespējams, ir nesamērīgs attiecība pret finansējuma saņēmēju, īpaši ņemot vērā, ka jēdziens “ar projekta īstenošanu saistīto dokumenti” ir ļoti plaši interpretējams.  </w:t>
      </w:r>
    </w:p>
    <w:p w14:paraId="2B37B4B5" w14:textId="77777777" w:rsidR="00F44FDD" w:rsidRDefault="00F44FDD" w:rsidP="00F44FDD">
      <w:pPr>
        <w:spacing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Papildus norādām, ka pēc noteiktu projektu īstenošanas beigām ir iespējamas situācijas, kad finansējuma saņēmējs vairs nav attiecīgās projekta īstenošanas vietas īpašuma, turējuma vai valdījuma tiesību subjekts un nevar nodrošināt pieeju projekta īstenošanas vietai.  </w:t>
      </w:r>
    </w:p>
    <w:p w14:paraId="131C51D5" w14:textId="77777777" w:rsidR="00F44FDD" w:rsidRDefault="00F44FDD" w:rsidP="00F44FDD">
      <w:pPr>
        <w:spacing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Pamatojoties uz iepriekš minēto, lūdzam likumprojekta anotācijā izvērsti skaidrot, ko likumprojekta ietvaros saprot ar sapratīgu termiņu, kādā finansējuma saņēmējam ir jānodrošina pieeja visu ar projekta īstenošanu saistīto dokumentu oriģināliem un grāmatvedības sistēmai, kā arī attiecīgā projekta īstenošanas vietai.  </w:t>
      </w:r>
    </w:p>
    <w:p w14:paraId="407C1632" w14:textId="77777777" w:rsidR="00F44FDD" w:rsidRDefault="00F44FDD" w:rsidP="00F44FDD">
      <w:pPr>
        <w:spacing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Atkārtoti norādām, ka likumprojekta 19. panta 10. punktā minētais jēdziens “savlaicīgs” ir ļoti subjektīvs un šī jēdziena interpretācijai ir tieša ietekme uz finansējuma saņēmēju. Lai nodrošinātu iepriekš minētā punkta nepārprotamu izpratni un vienveidīgu piemērošanu praksē, lūdzam precizēt minēto punktu, precīzāk norādot, kāds informācijas sniegšanas termiņš ir uzskatāms par savlaicīgu, vai alternatīvi lūdzam papildināt likumprojekta anotāciju ar atbilstošu skaidrojumu, kā paredzēts vērtēt attiecīgās informācija iesniegšanas savlaicīgumu, jo minētais </w:t>
      </w:r>
      <w:proofErr w:type="spellStart"/>
      <w:r>
        <w:rPr>
          <w:rFonts w:ascii="Times New Roman" w:hAnsi="Times New Roman" w:cs="Times New Roman"/>
          <w:color w:val="000000"/>
          <w:sz w:val="24"/>
          <w:szCs w:val="24"/>
        </w:rPr>
        <w:t>jēdzines</w:t>
      </w:r>
      <w:proofErr w:type="spellEnd"/>
      <w:r>
        <w:rPr>
          <w:rFonts w:ascii="Times New Roman" w:hAnsi="Times New Roman" w:cs="Times New Roman"/>
          <w:color w:val="000000"/>
          <w:sz w:val="24"/>
          <w:szCs w:val="24"/>
        </w:rPr>
        <w:t xml:space="preserve"> ir subjektīvs un neskaidrs. </w:t>
      </w:r>
    </w:p>
    <w:p w14:paraId="736C5061" w14:textId="77777777" w:rsidR="00F44FDD" w:rsidRDefault="00F44FDD" w:rsidP="00F44FDD">
      <w:pPr>
        <w:spacing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Papildus lūdzam izvērtēt, vai šāda regulējuma iekļaušana likumprojektā ir nepieciešama, jo attiecīgajos Ministru kabineta noteikumos, kur tiek konkrētāk noteikti finansējuma saņēmēja pienākumi un tiesības tiek precīzi atrunāti informācijas iesniegšanas termiņi. Informācijas iesniegšanas termiņu pēc projekta īstenošanas var noteikt attiecīgā institūcija, kas informāciju pieprasa atbilstoši tās kompetencei un pieprasītās informācijas raksturam un apjomam, individuāli izvērtējot informācijas iesniegšanas saprātīgu termiņu. </w:t>
      </w:r>
      <w:r>
        <w:rPr>
          <w:rFonts w:ascii="Times New Roman" w:hAnsi="Times New Roman" w:cs="Times New Roman"/>
          <w:color w:val="000000"/>
          <w:sz w:val="24"/>
          <w:szCs w:val="24"/>
          <w:highlight w:val="cyan"/>
        </w:rPr>
        <w:t> </w:t>
      </w:r>
    </w:p>
    <w:p w14:paraId="1D549FBD" w14:textId="77777777" w:rsidR="00F44FDD" w:rsidRDefault="00F44FDD" w:rsidP="00F44FDD">
      <w:pPr>
        <w:spacing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6. Atkārtoti vēršam uzmanību, ka likumprojekta 20. pantā, kurā noteikta Ministru kabineta kompetence Eiropas Savienības fondu vadības nodrošināšanā, Ministru kabinetam, lai nodrošinātu Eiropas Savienības fondu vadību, nav noteiktas tiesības noteikt līguma vai vienošanās par projekta īstenošanu vienpusēja uzteikuma nosacījumus.  </w:t>
      </w:r>
    </w:p>
    <w:p w14:paraId="5280CAEF" w14:textId="77777777" w:rsidR="00F44FDD" w:rsidRDefault="00F44FDD" w:rsidP="00F44FDD">
      <w:pPr>
        <w:spacing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Pamatojoties uz iepriekš minēto, lūdzam izvērsti likumprojekta anotācijā skaidrot, kāpēc likumprojektā Ministru kabinetam, lai nodrošinātu Eiropas Savienības </w:t>
      </w:r>
      <w:r>
        <w:rPr>
          <w:rFonts w:ascii="Times New Roman" w:hAnsi="Times New Roman" w:cs="Times New Roman"/>
          <w:color w:val="000000"/>
          <w:sz w:val="24"/>
          <w:szCs w:val="24"/>
        </w:rPr>
        <w:lastRenderedPageBreak/>
        <w:t>fondu vadību, nav noteiktas tiesības noteikt līguma vai vienošanās par projekta īstenošanu vienpusēja uzteikuma nosacījumus.  </w:t>
      </w:r>
    </w:p>
    <w:p w14:paraId="31F61249" w14:textId="77777777" w:rsidR="00F44FDD" w:rsidRDefault="00F44FDD" w:rsidP="00F44FDD">
      <w:pPr>
        <w:spacing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7. Atkārtoti vēršam uzmanību uz to, ka projekta 25. panta ceturtajā daļā un 26. panta piektajā daļā minētie vārdi "projekta iesniegums uzskatāms par noraidītu" ir neskaidri, proti, nav saprotams, kādēļ netiek pieņemts attiecīgs lēmums. Turklāt nav skaidrs, ko varēs apstrīdēt un pārsūdzēt šādā gadījumā.  </w:t>
      </w:r>
    </w:p>
    <w:p w14:paraId="48283DBB" w14:textId="77777777" w:rsidR="00F44FDD" w:rsidRDefault="00F44FDD" w:rsidP="00F44FDD">
      <w:pPr>
        <w:spacing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Vēršam uzmanību uz to, ka Administratīvā procesa likuma 3. panta pirmā un otrā daļa noteic, ka šo likumu piemēro administratīvajā procesā iestādē, ciktāl citu likumu speciālajās tiesību normās nav noteikta cita kārtība. Administratīvais process tiesā notiek saskaņā ar šo likumu. Ja cita likuma speciālā tiesību norma nosaka citu kārtību, kas nav pretrunā ar šā likuma pamatmērķiem un principiem, administratīvajā procesā tiesā piemēro cita likuma speciālo tiesību normu. Līdz ar to, ja projektā ir nepieciešams paredzēt regulējumu, kas neatbilst Administratīvā procesa likumā paredzētajam regulējumam, nepieciešams attiecīgs skaidrojums.  </w:t>
      </w:r>
    </w:p>
    <w:p w14:paraId="4AD50626" w14:textId="77777777" w:rsidR="00F44FDD" w:rsidRDefault="00F44FDD" w:rsidP="00F44FDD">
      <w:pPr>
        <w:spacing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Ievērojot minēto, atkārtoti lūdzam izvērtēt projekta 25. panta ceturtajā daļā un 26. panta piektajā daļā paredzēto regulējumu un precizēt to vai papildināt anotāciju ar atbilstošu skaidrojumu.  </w:t>
      </w:r>
    </w:p>
    <w:p w14:paraId="6959CA20" w14:textId="77777777" w:rsidR="00F44FDD" w:rsidRDefault="00F44FDD" w:rsidP="00F44FDD">
      <w:pPr>
        <w:spacing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8. Ievērojot, ka projekta 25. panta piektajā daļā paredzētais regulējums par iesnieguma izskatīšanu, lēmuma pieņemšanu un paziņošanu, kā arī lēmuma apstrīdēšanu un pārsūdzēšanu neatbilst Administratīvā procesa likumā paredzētajam regulējumam, atkārtoti lūdzam to precizēt vai papildināt anotāciju ar izvērstu skaidrojumu.  </w:t>
      </w:r>
    </w:p>
    <w:p w14:paraId="34AC242A" w14:textId="77777777" w:rsidR="00F44FDD" w:rsidRDefault="00F44FDD" w:rsidP="00F44FDD">
      <w:pPr>
        <w:spacing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Vienlaikus norādām uz to, ka nav saprotams, ko persona varēs pārsūdzēt, ja attiecīgs lēmums netiek pieņemts.  </w:t>
      </w:r>
    </w:p>
    <w:p w14:paraId="4AF4205F" w14:textId="77777777" w:rsidR="00F44FDD" w:rsidRDefault="00F44FDD" w:rsidP="00F44FDD">
      <w:pPr>
        <w:spacing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9. Atkārtoti vēršam uzmanību uz to, ka projekta 28. pantā paredzētā lēmumu apstrīdēšanas un pārsūdzēšanas kārtība ir neskaidra. Turklāt projekta 25. panta piektajā daļā arī ir paredzēta lēmuma pārsūdzēšanas kārtība. Tāpat nav saprotams, kādēļ projekta 28. pants paredz atzinumu, nevis lēmumu apstrīdēšanas un pārsūdzēšanas kārtību. Turklāt projekta 25. panta ceturtajā un 26. panta ceturtajā un piektajā daļā nav minēti atzinumi. Norādām, ka saskaņā ar Administratīvā procesa likuma 1. panta trešās daļas 3. punktu pēc vispārēja principa </w:t>
      </w:r>
      <w:proofErr w:type="spellStart"/>
      <w:r>
        <w:rPr>
          <w:rFonts w:ascii="Times New Roman" w:hAnsi="Times New Roman" w:cs="Times New Roman"/>
          <w:color w:val="000000"/>
          <w:sz w:val="24"/>
          <w:szCs w:val="24"/>
        </w:rPr>
        <w:t>starplēmums</w:t>
      </w:r>
      <w:proofErr w:type="spellEnd"/>
      <w:r>
        <w:rPr>
          <w:rFonts w:ascii="Times New Roman" w:hAnsi="Times New Roman" w:cs="Times New Roman"/>
          <w:color w:val="000000"/>
          <w:sz w:val="24"/>
          <w:szCs w:val="24"/>
        </w:rPr>
        <w:t xml:space="preserve"> (tostarp procesuāls lēmums) nav administratīvais akts un atsevišķi nav pārsūdzams, ja vien tas pats par sevi neskar būtiskas personas tiesības vai tiesiskas intereses vai būtiski apgrūtina to īstenošanu.  </w:t>
      </w:r>
    </w:p>
    <w:p w14:paraId="128AB06F" w14:textId="77777777" w:rsidR="00F44FDD" w:rsidRDefault="00F44FDD" w:rsidP="00F44FDD">
      <w:pPr>
        <w:spacing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Projekta 28. panta trešajā daļā ir paredzēts, ka lēmuma apstrīdēšana vai pārsūdzēšana neaptur tā darbību, bet anotācijā nav attiecīga skaidrojuma par šāda regulējuma nepieciešamību.  </w:t>
      </w:r>
    </w:p>
    <w:p w14:paraId="6D9F5695" w14:textId="77777777" w:rsidR="00F44FDD" w:rsidRDefault="00F44FDD" w:rsidP="00F44FDD">
      <w:pPr>
        <w:spacing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Papildus vēršam uzmanību uz to, ka nav skaidrs, kādēļ nepieciešams paredzēt projekta 28. panta ceturtajā un piektajā daļā ietverto regulējumu, jo ārējos normatīvajos aktos nenosaka iestādes iekšējo darba organizāciju, proti, tas tiek darīts ar iekšējiem normatīvajiem aktiem </w:t>
      </w:r>
      <w:proofErr w:type="spellStart"/>
      <w:r>
        <w:rPr>
          <w:rFonts w:ascii="Times New Roman" w:hAnsi="Times New Roman" w:cs="Times New Roman"/>
          <w:color w:val="000000"/>
          <w:sz w:val="24"/>
          <w:szCs w:val="24"/>
        </w:rPr>
        <w:t>v.tml</w:t>
      </w:r>
      <w:proofErr w:type="spellEnd"/>
      <w:r>
        <w:rPr>
          <w:rFonts w:ascii="Times New Roman" w:hAnsi="Times New Roman" w:cs="Times New Roman"/>
          <w:color w:val="000000"/>
          <w:sz w:val="24"/>
          <w:szCs w:val="24"/>
        </w:rPr>
        <w:t>.  </w:t>
      </w:r>
    </w:p>
    <w:p w14:paraId="14C97E2E" w14:textId="77777777" w:rsidR="00F44FDD" w:rsidRDefault="00F44FDD" w:rsidP="00F44FDD">
      <w:pPr>
        <w:spacing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Ievērojot minēto, kā arī to, ka projekta 28. pantā paredzētais regulējums neatbilst Administratīvā procesa likumā paredzētajam regulējumam, atkārtoti lūdzam to precizēt vai papildināt anotāciju ar izvērstu skaidrojumu.  </w:t>
      </w:r>
    </w:p>
    <w:p w14:paraId="10FA5B7E" w14:textId="77777777" w:rsidR="00F44FDD" w:rsidRDefault="00F44FDD" w:rsidP="00F44FDD">
      <w:pPr>
        <w:spacing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10. Ievērojot, ka projekta 29. pantā paredzētais regulējums neatbilst Administratīvā procesa likumā paredzētajam regulējumam par lēmumu pieņemšanas termiņiem un to pagarināšanu, atkārtoti lūdzam to precizēt vai papildināt anotāciju ar izvērstu skaidrojumu.  </w:t>
      </w:r>
    </w:p>
    <w:p w14:paraId="6F94ADC3" w14:textId="77777777" w:rsidR="00F44FDD" w:rsidRDefault="00F44FDD" w:rsidP="00F44FDD">
      <w:pPr>
        <w:spacing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Vienlaikus vēršam uzmanību uz to, ka nav skaidrs, kas ir projekta 29. panta pirmajā daļā minētais normatīvais akts par specifiskā atbalsta mērķa īstenošanu. Ja tas ir zemāka juridiskā spēka normatīvais akts, tad šādu regulējumu nevar paredzēt projektā, proti, zemāka juridiskā spēka normatīvā akta regulējums nevar būt pretrunā augstāka juridiskā spēka normatīvā akta regulējumam. Turklāt arī Ministru kabineta 2009. gada 3. februāra noteikumu Nr. 108 "Normatīvo aktu projektu sagatavošanas noteikumi" 62. punkts noteic, ka likumprojektā neietver atsauces uz zemāka juridiskā spēka normatīvo aktu.  </w:t>
      </w:r>
    </w:p>
    <w:p w14:paraId="35DB0C80" w14:textId="77777777" w:rsidR="00F44FDD" w:rsidRDefault="00F44FDD" w:rsidP="00F44FDD">
      <w:pPr>
        <w:spacing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11. Atkārtoti norādām, ka likumprojekta 27. pants. nosaka regulējumu attiecībā uz lēmumu par aizliegumu uz laiku piedalīties projektu iesniegumu atlasē. Likumprojekta 27. panta 1. punkts nosaka, ka sadarbības iestāde ir tiesīga pieņemt lēmumu par aizliegumu dalībai projektu iesniegumu atlasē uz laiku, kas nepārsniedz trīs gadus no lēmuma spēkā stāšanās dienas, ja persona ir sniegusi nepatiesu informāciju, kas ir būtiska projekta iesnieguma novērtēšanai vai, īstenojot projektu šā likuma izpratnē, sniegusi sadarbības iestādei nepatiesu informāciju vai citādi ļaunprātīgi rīkojusies saistībā ar projekta īstenošanu, kas ir bijis par pamatu neatbilstoši veikto izdevumu ieturēšanai vai atgūšanai, un sadarbības iestāde ir izmantojusi tiesības vienpusēji atkāpties no līguma par projekta īstenošanu </w:t>
      </w:r>
    </w:p>
    <w:p w14:paraId="2F7B4B50" w14:textId="77777777" w:rsidR="00F44FDD" w:rsidRDefault="00F44FDD" w:rsidP="00F44FDD">
      <w:pPr>
        <w:spacing w:line="276" w:lineRule="auto"/>
        <w:ind w:firstLine="7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Likumprojektā šāda regulējuma nepieciešamība pamatota ar faktu, ka likumprojektā ietvertais regulējums ir uzskatāms par autonomu administratīvi tiesisku regulējumu, lai izslēgtu no pretendēšanas uz finansējumu personas, kas maldina iestādes ar nolūku saņemt finansējumu, jo finanšu līdzekļu izlietojums ir efektīvs tad, ja novērš nepamatotu līdzekļu piešķiršanu jau pieteikuma stadijā, nevis tos piešķirot un pēc tam atgūstot (ja vēlāk būs ko atgūt).</w:t>
      </w:r>
      <w:r>
        <w:rPr>
          <w:rFonts w:ascii="Times New Roman" w:hAnsi="Times New Roman" w:cs="Times New Roman"/>
          <w:color w:val="000000"/>
          <w:sz w:val="24"/>
          <w:szCs w:val="24"/>
        </w:rPr>
        <w:t> </w:t>
      </w:r>
    </w:p>
    <w:p w14:paraId="28051A79" w14:textId="77777777" w:rsidR="00F44FDD" w:rsidRDefault="00F44FDD" w:rsidP="00F44FDD">
      <w:pPr>
        <w:spacing w:line="276" w:lineRule="auto"/>
        <w:ind w:firstLine="7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Papildus anotācijā norādīts, ka maldināšana, sniedzot nepatiesu informāciju, nebūtu jāsasaista ar noziedzīga nodarījuma izdarīšanu, jo citādi netiek sasniegts efektīvākais veids tādu personu izslēgšanai no pretendēšanas uz finansējumu, kas ar savām darbībām kaitē vai var kaitēt ES budžeta interesēm, radot mākslīgus apstākļus finansējuma saņemšanai. </w:t>
      </w:r>
    </w:p>
    <w:p w14:paraId="66D568B3" w14:textId="77777777" w:rsidR="00F44FDD" w:rsidRDefault="00F44FDD" w:rsidP="00F44FDD">
      <w:pPr>
        <w:spacing w:line="276" w:lineRule="auto"/>
        <w:ind w:firstLine="7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Tieslietu ministrijas ieskatā likumprojekta 27.</w:t>
      </w:r>
      <w:r>
        <w:rPr>
          <w:rFonts w:ascii="Times New Roman" w:hAnsi="Times New Roman" w:cs="Times New Roman"/>
          <w:color w:val="000000"/>
          <w:sz w:val="24"/>
          <w:szCs w:val="24"/>
        </w:rPr>
        <w:t> </w:t>
      </w:r>
      <w:r>
        <w:rPr>
          <w:rFonts w:ascii="Times New Roman" w:eastAsia="Times New Roman" w:hAnsi="Times New Roman" w:cs="Times New Roman"/>
          <w:color w:val="000000"/>
          <w:sz w:val="24"/>
          <w:szCs w:val="24"/>
        </w:rPr>
        <w:t>panta regulējums samērīgi neizšķir gadījums, kad persona ir sniegusi nepatiesu informāciju neapzināti, kļūdas dēļ (ja ir nepazināti iesniegta kļūdaina informācija, kas bijusi būtiska projekta iesnieguma novērtēšanai) no personas, kas apzināti sniegusi nepatiesu, maldinošu informāciju vai radījusi mākslīgus apstākļus vai sniegusi faktiskiem apstākļiem būtiski neatbilstošu informāciju, ar mērķi gūt priekšrocības. Iespējams, personai, kas sniegusi neapzināti kļūdainu informāciju varētu būt pamatoti liegt piedalīties konkrētajā atlases kārtā, kurā persona ir sniegusi nepatieso informāciju, bet šāda neapzināta kļūda nevarētu rezultēties aizliegumā uz laiku līdz trīs gadiem piedalīties projektu iesniegumu atlasēs.  </w:t>
      </w:r>
    </w:p>
    <w:p w14:paraId="241E8594" w14:textId="77777777" w:rsidR="00F44FDD" w:rsidRDefault="00F44FDD" w:rsidP="00F44FDD">
      <w:pPr>
        <w:spacing w:line="276" w:lineRule="auto"/>
        <w:ind w:firstLine="72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Pamatojoties uz iepriekš minēto, lūdzam likumprojekta anotācijā izvērsi pamatot likumprojekta 27.</w:t>
      </w:r>
      <w:r>
        <w:rPr>
          <w:rFonts w:ascii="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panta regulējuma samērīgumu attiecībā uz personām, kas </w:t>
      </w:r>
      <w:r>
        <w:rPr>
          <w:rFonts w:ascii="Times New Roman" w:eastAsia="Times New Roman" w:hAnsi="Times New Roman" w:cs="Times New Roman"/>
          <w:color w:val="000000"/>
          <w:sz w:val="24"/>
          <w:szCs w:val="24"/>
        </w:rPr>
        <w:lastRenderedPageBreak/>
        <w:t>nepatiesu informāciju ir sniegušas neapzināti pret personām, kas snieguši nepatiesu informāciju vai veikuši citas ļaunprātīgas darbības ar mērķi radīt sev labvēlīgākus apstākļus, kā arī izvērtēt iespēju likumprojekta 27.</w:t>
      </w:r>
      <w:r>
        <w:rPr>
          <w:rFonts w:ascii="Times New Roman" w:hAnsi="Times New Roman" w:cs="Times New Roman"/>
          <w:color w:val="000000"/>
          <w:sz w:val="24"/>
          <w:szCs w:val="24"/>
        </w:rPr>
        <w:t> </w:t>
      </w:r>
      <w:r>
        <w:rPr>
          <w:rFonts w:ascii="Times New Roman" w:eastAsia="Times New Roman" w:hAnsi="Times New Roman" w:cs="Times New Roman"/>
          <w:color w:val="000000"/>
          <w:sz w:val="24"/>
          <w:szCs w:val="24"/>
        </w:rPr>
        <w:t>pantā noteikt atšķirīgu, maigāku regulējumu attiecībā uz personām, kas nepatiesu informāciju ir sniegušas neapzināti (piemēram, nosakot aizliegumu piedalīties konkrētajā projektu iesniegumu atlasē, kurā ir tikusi iesniegta nepatiesa informācija neapzināti).</w:t>
      </w:r>
      <w:r>
        <w:rPr>
          <w:rFonts w:ascii="Times New Roman" w:hAnsi="Times New Roman" w:cs="Times New Roman"/>
          <w:color w:val="000000"/>
          <w:sz w:val="24"/>
          <w:szCs w:val="24"/>
        </w:rPr>
        <w:t> </w:t>
      </w:r>
    </w:p>
    <w:p w14:paraId="41F73D7B" w14:textId="77777777" w:rsidR="00F44FDD" w:rsidRDefault="00F44FDD" w:rsidP="00F44FDD">
      <w:pPr>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w:t>
      </w:r>
    </w:p>
    <w:p w14:paraId="44FE72CC" w14:textId="77777777" w:rsidR="00F44FDD" w:rsidRDefault="00F44FDD" w:rsidP="00F44FDD">
      <w:pPr>
        <w:rPr>
          <w:rFonts w:ascii="Times New Roman" w:eastAsia="Times New Roman" w:hAnsi="Times New Roman" w:cs="Times New Roman"/>
          <w:color w:val="000000"/>
          <w:sz w:val="20"/>
          <w:szCs w:val="20"/>
        </w:rPr>
      </w:pPr>
    </w:p>
    <w:p w14:paraId="7086D126" w14:textId="77777777" w:rsidR="00F44FDD" w:rsidRDefault="00F44FDD" w:rsidP="00F44FDD">
      <w:pPr>
        <w:rPr>
          <w:rFonts w:ascii="Times New Roman" w:eastAsia="Times New Roman" w:hAnsi="Times New Roman" w:cs="Times New Roman"/>
          <w:color w:val="000000"/>
          <w:sz w:val="20"/>
          <w:szCs w:val="20"/>
        </w:rPr>
      </w:pPr>
    </w:p>
    <w:p w14:paraId="7F12A539" w14:textId="77777777" w:rsidR="00F44FDD" w:rsidRDefault="00F44FDD" w:rsidP="00F44FDD">
      <w:pPr>
        <w:pStyle w:val="NormalWeb"/>
        <w:shd w:val="clear" w:color="auto" w:fill="FFFFFF"/>
        <w:rPr>
          <w:color w:val="201F1E"/>
        </w:rPr>
      </w:pPr>
      <w:r>
        <w:rPr>
          <w:rFonts w:ascii="Times New Roman" w:hAnsi="Times New Roman" w:cs="Times New Roman"/>
          <w:b/>
          <w:bCs/>
          <w:color w:val="201F1E"/>
        </w:rPr>
        <w:t>Ar cieņu</w:t>
      </w:r>
    </w:p>
    <w:p w14:paraId="095976D1" w14:textId="77777777" w:rsidR="00F44FDD" w:rsidRDefault="00F44FDD" w:rsidP="00F44FDD">
      <w:pPr>
        <w:pStyle w:val="NormalWeb"/>
        <w:shd w:val="clear" w:color="auto" w:fill="FFFFFF"/>
        <w:rPr>
          <w:color w:val="201F1E"/>
        </w:rPr>
      </w:pPr>
    </w:p>
    <w:p w14:paraId="482FF42F" w14:textId="77777777" w:rsidR="00F44FDD" w:rsidRDefault="00F44FDD" w:rsidP="00F44FDD">
      <w:pPr>
        <w:pStyle w:val="NormalWeb"/>
        <w:shd w:val="clear" w:color="auto" w:fill="FFFFFF"/>
        <w:rPr>
          <w:color w:val="201F1E"/>
        </w:rPr>
      </w:pPr>
      <w:r>
        <w:rPr>
          <w:rFonts w:ascii="Times New Roman" w:hAnsi="Times New Roman" w:cs="Times New Roman"/>
          <w:b/>
          <w:bCs/>
          <w:color w:val="201F1E"/>
        </w:rPr>
        <w:t>Linda Bernāne</w:t>
      </w:r>
    </w:p>
    <w:p w14:paraId="72B79B1E" w14:textId="77777777" w:rsidR="00F44FDD" w:rsidRDefault="00F44FDD" w:rsidP="00F44FDD">
      <w:pPr>
        <w:pStyle w:val="NormalWeb"/>
        <w:shd w:val="clear" w:color="auto" w:fill="FFFFFF"/>
        <w:rPr>
          <w:color w:val="201F1E"/>
        </w:rPr>
      </w:pPr>
      <w:r>
        <w:rPr>
          <w:rFonts w:ascii="Times New Roman" w:hAnsi="Times New Roman" w:cs="Times New Roman"/>
          <w:color w:val="201F1E"/>
          <w:sz w:val="20"/>
          <w:szCs w:val="20"/>
        </w:rPr>
        <w:t>Tieslietu ministrijas</w:t>
      </w:r>
    </w:p>
    <w:p w14:paraId="08C6CB42" w14:textId="77777777" w:rsidR="00F44FDD" w:rsidRDefault="00F44FDD" w:rsidP="00F44FDD">
      <w:pPr>
        <w:pStyle w:val="NormalWeb"/>
        <w:shd w:val="clear" w:color="auto" w:fill="FFFFFF"/>
        <w:rPr>
          <w:color w:val="201F1E"/>
        </w:rPr>
      </w:pPr>
      <w:r>
        <w:rPr>
          <w:rFonts w:ascii="Times New Roman" w:hAnsi="Times New Roman" w:cs="Times New Roman"/>
          <w:color w:val="201F1E"/>
          <w:sz w:val="20"/>
          <w:szCs w:val="20"/>
        </w:rPr>
        <w:t>Valststiesību departamenta</w:t>
      </w:r>
    </w:p>
    <w:p w14:paraId="4D70521B" w14:textId="77777777" w:rsidR="00F44FDD" w:rsidRDefault="00F44FDD" w:rsidP="00F44FDD">
      <w:pPr>
        <w:pStyle w:val="NormalWeb"/>
        <w:shd w:val="clear" w:color="auto" w:fill="FFFFFF"/>
        <w:rPr>
          <w:color w:val="201F1E"/>
        </w:rPr>
      </w:pPr>
      <w:r>
        <w:rPr>
          <w:rFonts w:ascii="Times New Roman" w:hAnsi="Times New Roman" w:cs="Times New Roman"/>
          <w:color w:val="201F1E"/>
          <w:sz w:val="20"/>
          <w:szCs w:val="20"/>
        </w:rPr>
        <w:t>Starptautisko publisko tiesību nodaļas </w:t>
      </w:r>
    </w:p>
    <w:p w14:paraId="690AB950" w14:textId="77777777" w:rsidR="00F44FDD" w:rsidRDefault="00F44FDD" w:rsidP="00F44FDD">
      <w:pPr>
        <w:pStyle w:val="NormalWeb"/>
        <w:shd w:val="clear" w:color="auto" w:fill="FFFFFF"/>
        <w:rPr>
          <w:color w:val="201F1E"/>
        </w:rPr>
      </w:pPr>
      <w:r>
        <w:rPr>
          <w:rFonts w:ascii="Times New Roman" w:hAnsi="Times New Roman" w:cs="Times New Roman"/>
          <w:color w:val="201F1E"/>
          <w:sz w:val="20"/>
          <w:szCs w:val="20"/>
        </w:rPr>
        <w:t>Juriste (ES fondu jautājumos)</w:t>
      </w:r>
    </w:p>
    <w:p w14:paraId="5B74144B" w14:textId="77777777" w:rsidR="00F44FDD" w:rsidRDefault="00F44FDD" w:rsidP="00F44FDD">
      <w:pPr>
        <w:pStyle w:val="NormalWeb"/>
        <w:shd w:val="clear" w:color="auto" w:fill="FFFFFF"/>
        <w:rPr>
          <w:color w:val="201F1E"/>
        </w:rPr>
      </w:pPr>
      <w:r>
        <w:rPr>
          <w:rFonts w:ascii="Times New Roman" w:hAnsi="Times New Roman" w:cs="Times New Roman"/>
          <w:color w:val="201F1E"/>
          <w:sz w:val="20"/>
          <w:szCs w:val="20"/>
        </w:rPr>
        <w:t>Tālrunis: 67036983</w:t>
      </w:r>
    </w:p>
    <w:p w14:paraId="0F3B601C" w14:textId="77777777" w:rsidR="00F44FDD" w:rsidRDefault="00F44FDD" w:rsidP="00F44FDD">
      <w:pPr>
        <w:pStyle w:val="NormalWeb"/>
        <w:shd w:val="clear" w:color="auto" w:fill="FFFFFF"/>
        <w:rPr>
          <w:color w:val="201F1E"/>
        </w:rPr>
      </w:pPr>
      <w:r>
        <w:rPr>
          <w:rFonts w:ascii="Times New Roman" w:hAnsi="Times New Roman" w:cs="Times New Roman"/>
          <w:color w:val="201F1E"/>
          <w:sz w:val="20"/>
          <w:szCs w:val="20"/>
        </w:rPr>
        <w:t>E-pasts: </w:t>
      </w:r>
      <w:hyperlink r:id="rId6" w:tgtFrame="_blank" w:history="1">
        <w:r>
          <w:rPr>
            <w:rStyle w:val="Hyperlink"/>
            <w:rFonts w:ascii="Times New Roman" w:hAnsi="Times New Roman" w:cs="Times New Roman"/>
            <w:sz w:val="20"/>
            <w:szCs w:val="20"/>
          </w:rPr>
          <w:t>Linda.Bernane@tm.gov.lv</w:t>
        </w:r>
      </w:hyperlink>
    </w:p>
    <w:p w14:paraId="73E2C3FF" w14:textId="77777777" w:rsidR="00F44FDD" w:rsidRDefault="00F44FDD" w:rsidP="00F44FDD">
      <w:pPr>
        <w:rPr>
          <w:rFonts w:eastAsia="Times New Roman"/>
          <w:color w:val="000000"/>
          <w:sz w:val="24"/>
          <w:szCs w:val="24"/>
        </w:rPr>
      </w:pPr>
      <w:r>
        <w:rPr>
          <w:rFonts w:ascii="Times New Roman" w:eastAsia="Times New Roman" w:hAnsi="Times New Roman" w:cs="Times New Roman"/>
          <w:color w:val="000000"/>
          <w:sz w:val="20"/>
          <w:szCs w:val="20"/>
        </w:rPr>
        <w:t>Atrašanās vieta: Raiņa bulvārī 15, Rīgā, LV-1050.</w:t>
      </w:r>
      <w:r>
        <w:rPr>
          <w:rFonts w:eastAsia="Times New Roman"/>
          <w:color w:val="000000"/>
          <w:sz w:val="24"/>
          <w:szCs w:val="24"/>
        </w:rPr>
        <w:br/>
      </w:r>
      <w:r>
        <w:rPr>
          <w:rFonts w:ascii="Times New Roman" w:eastAsia="Times New Roman" w:hAnsi="Times New Roman" w:cs="Times New Roman"/>
          <w:color w:val="000000"/>
          <w:sz w:val="20"/>
          <w:szCs w:val="20"/>
        </w:rPr>
        <w:t>Juridiskā adrese: Brīvības bulvārī 36, Rīgā, LV-1536.</w:t>
      </w:r>
      <w:r>
        <w:rPr>
          <w:rFonts w:eastAsia="Times New Roman"/>
          <w:color w:val="000000"/>
          <w:sz w:val="24"/>
          <w:szCs w:val="24"/>
        </w:rPr>
        <w:t xml:space="preserve"> </w:t>
      </w:r>
    </w:p>
    <w:p w14:paraId="5D8605D2" w14:textId="77777777" w:rsidR="00F44FDD" w:rsidRDefault="00F44FDD" w:rsidP="00F44FDD">
      <w:pPr>
        <w:pStyle w:val="NormalWeb"/>
        <w:shd w:val="clear" w:color="auto" w:fill="FFFFFF"/>
        <w:rPr>
          <w:color w:val="201F1E"/>
        </w:rPr>
      </w:pPr>
      <w:r>
        <w:rPr>
          <w:rFonts w:ascii="Times New Roman" w:hAnsi="Times New Roman" w:cs="Times New Roman"/>
          <w:color w:val="201F1E"/>
          <w:sz w:val="20"/>
          <w:szCs w:val="20"/>
        </w:rPr>
        <w:t> </w:t>
      </w:r>
    </w:p>
    <w:p w14:paraId="799A309D" w14:textId="731AC3C6" w:rsidR="00F44FDD" w:rsidRDefault="00F44FDD" w:rsidP="00F44FDD">
      <w:pPr>
        <w:rPr>
          <w:rFonts w:eastAsia="Times New Roman"/>
          <w:color w:val="000000"/>
          <w:sz w:val="24"/>
          <w:szCs w:val="24"/>
        </w:rPr>
      </w:pPr>
      <w:r>
        <w:rPr>
          <w:rFonts w:eastAsia="Times New Roman"/>
          <w:noProof/>
          <w:color w:val="000000"/>
          <w:sz w:val="24"/>
          <w:szCs w:val="24"/>
        </w:rPr>
        <w:drawing>
          <wp:inline distT="0" distB="0" distL="0" distR="0" wp14:anchorId="6281C157" wp14:editId="61396D16">
            <wp:extent cx="1257300" cy="990600"/>
            <wp:effectExtent l="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7300" cy="990600"/>
                    </a:xfrm>
                    <a:prstGeom prst="rect">
                      <a:avLst/>
                    </a:prstGeom>
                    <a:noFill/>
                    <a:ln>
                      <a:noFill/>
                    </a:ln>
                  </pic:spPr>
                </pic:pic>
              </a:graphicData>
            </a:graphic>
          </wp:inline>
        </w:drawing>
      </w:r>
    </w:p>
    <w:p w14:paraId="2B47E362" w14:textId="77777777" w:rsidR="00F44FDD" w:rsidRDefault="00F44FDD" w:rsidP="00F44FDD">
      <w:pPr>
        <w:rPr>
          <w:rFonts w:eastAsia="Times New Roman"/>
          <w:color w:val="000000"/>
          <w:sz w:val="24"/>
          <w:szCs w:val="24"/>
        </w:rPr>
      </w:pPr>
    </w:p>
    <w:p w14:paraId="7FEAF340" w14:textId="0AA04441" w:rsidR="00F44FDD" w:rsidRDefault="00F44FDD" w:rsidP="00F44FDD">
      <w:pPr>
        <w:rPr>
          <w:rFonts w:eastAsia="Times New Roman"/>
          <w:color w:val="000000"/>
          <w:sz w:val="24"/>
          <w:szCs w:val="24"/>
        </w:rPr>
      </w:pPr>
      <w:r>
        <w:rPr>
          <w:rFonts w:eastAsia="Times New Roman"/>
          <w:noProof/>
          <w:color w:val="000000"/>
          <w:sz w:val="24"/>
          <w:szCs w:val="24"/>
        </w:rPr>
        <w:drawing>
          <wp:inline distT="0" distB="0" distL="0" distR="0" wp14:anchorId="26E3113B" wp14:editId="48F8C4BC">
            <wp:extent cx="1219200" cy="666750"/>
            <wp:effectExtent l="0" t="0" r="0"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666750"/>
                    </a:xfrm>
                    <a:prstGeom prst="rect">
                      <a:avLst/>
                    </a:prstGeom>
                    <a:noFill/>
                    <a:ln>
                      <a:noFill/>
                    </a:ln>
                  </pic:spPr>
                </pic:pic>
              </a:graphicData>
            </a:graphic>
          </wp:inline>
        </w:drawing>
      </w:r>
    </w:p>
    <w:p w14:paraId="3A5DE217" w14:textId="77777777" w:rsidR="004D2CBB" w:rsidRDefault="004D2CBB"/>
    <w:sectPr w:rsidR="004D2CBB">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5F30B" w14:textId="77777777" w:rsidR="00F44B72" w:rsidRDefault="00F44B72" w:rsidP="00F44FDD">
      <w:r>
        <w:separator/>
      </w:r>
    </w:p>
  </w:endnote>
  <w:endnote w:type="continuationSeparator" w:id="0">
    <w:p w14:paraId="6528AD68" w14:textId="77777777" w:rsidR="00F44B72" w:rsidRDefault="00F44B72" w:rsidP="00F44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9B88A" w14:textId="77777777" w:rsidR="00F44FDD" w:rsidRDefault="00F44F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FF1DD" w14:textId="7AEC19B1" w:rsidR="00F44FDD" w:rsidRDefault="00F44FDD">
    <w:pPr>
      <w:pStyle w:val="Footer"/>
    </w:pPr>
    <w:r>
      <w:t>TMAtz_021121_Likums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3EBDC" w14:textId="77777777" w:rsidR="00F44FDD" w:rsidRDefault="00F44F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4A7FC" w14:textId="77777777" w:rsidR="00F44B72" w:rsidRDefault="00F44B72" w:rsidP="00F44FDD">
      <w:r>
        <w:separator/>
      </w:r>
    </w:p>
  </w:footnote>
  <w:footnote w:type="continuationSeparator" w:id="0">
    <w:p w14:paraId="78A9E971" w14:textId="77777777" w:rsidR="00F44B72" w:rsidRDefault="00F44B72" w:rsidP="00F44F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4731E" w14:textId="77777777" w:rsidR="00F44FDD" w:rsidRDefault="00F44F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E57C2" w14:textId="77777777" w:rsidR="00F44FDD" w:rsidRDefault="00F44F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F318B" w14:textId="77777777" w:rsidR="00F44FDD" w:rsidRDefault="00F44FD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FDD"/>
    <w:rsid w:val="004D2CBB"/>
    <w:rsid w:val="00C227AA"/>
    <w:rsid w:val="00F44B72"/>
    <w:rsid w:val="00F44F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E55B1"/>
  <w15:chartTrackingRefBased/>
  <w15:docId w15:val="{D994AD46-2102-4FD6-B373-1774BA019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FDD"/>
    <w:pPr>
      <w:spacing w:after="0" w:line="240" w:lineRule="auto"/>
    </w:pPr>
    <w:rPr>
      <w:rFonts w:ascii="Calibri" w:hAnsi="Calibri" w:cs="Calibri"/>
      <w:sz w:val="22"/>
      <w:szCs w:val="2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44FDD"/>
    <w:rPr>
      <w:color w:val="0563C1"/>
      <w:u w:val="single"/>
    </w:rPr>
  </w:style>
  <w:style w:type="paragraph" w:styleId="NormalWeb">
    <w:name w:val="Normal (Web)"/>
    <w:basedOn w:val="Normal"/>
    <w:uiPriority w:val="99"/>
    <w:semiHidden/>
    <w:unhideWhenUsed/>
    <w:rsid w:val="00F44FDD"/>
  </w:style>
  <w:style w:type="paragraph" w:styleId="Header">
    <w:name w:val="header"/>
    <w:basedOn w:val="Normal"/>
    <w:link w:val="HeaderChar"/>
    <w:uiPriority w:val="99"/>
    <w:unhideWhenUsed/>
    <w:rsid w:val="00F44FDD"/>
    <w:pPr>
      <w:tabs>
        <w:tab w:val="center" w:pos="4153"/>
        <w:tab w:val="right" w:pos="8306"/>
      </w:tabs>
    </w:pPr>
  </w:style>
  <w:style w:type="character" w:customStyle="1" w:styleId="HeaderChar">
    <w:name w:val="Header Char"/>
    <w:basedOn w:val="DefaultParagraphFont"/>
    <w:link w:val="Header"/>
    <w:uiPriority w:val="99"/>
    <w:rsid w:val="00F44FDD"/>
    <w:rPr>
      <w:rFonts w:ascii="Calibri" w:hAnsi="Calibri" w:cs="Calibri"/>
      <w:sz w:val="22"/>
      <w:szCs w:val="22"/>
      <w:lang w:eastAsia="lv-LV"/>
    </w:rPr>
  </w:style>
  <w:style w:type="paragraph" w:styleId="Footer">
    <w:name w:val="footer"/>
    <w:basedOn w:val="Normal"/>
    <w:link w:val="FooterChar"/>
    <w:uiPriority w:val="99"/>
    <w:unhideWhenUsed/>
    <w:rsid w:val="00F44FDD"/>
    <w:pPr>
      <w:tabs>
        <w:tab w:val="center" w:pos="4153"/>
        <w:tab w:val="right" w:pos="8306"/>
      </w:tabs>
    </w:pPr>
  </w:style>
  <w:style w:type="character" w:customStyle="1" w:styleId="FooterChar">
    <w:name w:val="Footer Char"/>
    <w:basedOn w:val="DefaultParagraphFont"/>
    <w:link w:val="Footer"/>
    <w:uiPriority w:val="99"/>
    <w:rsid w:val="00F44FDD"/>
    <w:rPr>
      <w:rFonts w:ascii="Calibri"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73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Lita.Podniece@tm.gov.lv"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8767</Words>
  <Characters>4998</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Tieslietu ministrijas atzinums</dc:title>
  <dc:subject/>
  <dc:creator>Evita Vamža</dc:creator>
  <cp:keywords/>
  <dc:description/>
  <cp:lastModifiedBy>Evita Vamža</cp:lastModifiedBy>
  <cp:revision>2</cp:revision>
  <dcterms:created xsi:type="dcterms:W3CDTF">2021-12-29T21:58:00Z</dcterms:created>
  <dcterms:modified xsi:type="dcterms:W3CDTF">2022-01-09T21:22:00Z</dcterms:modified>
</cp:coreProperties>
</file>