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26-TA-1266: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2011. gada 1. februāra noteikumos Nr. 109 "Kārtība, kādā atsavināma publiskas personas manta"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(31.10.2025.)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17.07.2026. 09:35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- 03.08.2026.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 anotācijas nav skaidrs, kura institūcija un uz kāda tiesiskā pamata pieņems lēmumu par valsts nekustamā īpašuma valdītāja maiņu gadījumos, kad saskaņā ar noteikumu projekta 13.2. apakšpunktu cita ministrija ir izteikusi vajadzību pēc atsavināšanai nodotā nekustamā īpašuma. Lūdzam papildināt anotāciju ar attiecīgu tiesisko pamatojumu. Savukārt, ja šāds tiesiskais pamata nav, tad izvērtēt  iespēju papildināt noteikumu projektu ar normām, kas nepārprotami noteiktu kompetento institūciju un lēmuma pieņemšanas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atbilstoši likuma "Par nekustamā īpašuma ierakstīšanu zemesgrāmatā" 36. panta otrajai daļai, likuma "Par valsts un pašvaldību zemes īpašuma tiesībām un to nostiprināšanu zemesgrāmatā" 8. pantam, kā arī ievērojot Valsts pārvaldes iekārtas likuma 9. pantā nostiprināto kompetences principu, Ministru kabinets ir iestāde, kas pieņem lēmumu par valsts nekustamā īpašuma valdītāja maiņu.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valdītāja maiņa notiks, pamatojoties uz procesā iesaistīto ministriju lēmumu pamata, t.i., ministrija, kurai būs nepieciešams nekustamais īpašums, par kuru cita ministrija ir sagatavojusi Ministru kabineta rīkojuma projektu par attiecīgā nekustamā īpašuma nodošanu atsavināšanai, iesniegs savas ministrijas lēmumu par attiecīgā īpašuma pārņemšanu ministrijas valdījumā, to nosūtot ministrijai, kura būs TAP portālā izsludinājusi MK rīkojuma projektu par nekustamā īpašuma nodošanu atsavināšanai. Attiecīgi ministrija, ievērojot ministrijas saņemto lēmumu, pieņems savas ministrijas lēmumu par minētā nekustamā īpašuma nodošanu šīs  ministrijas ( kurai nekustamais īpašums nepieciešams) valdījumā. ( attiecīgu papildinājumu skaidrojumam, lūdzu skatīt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anotācijā ir norādīts, tad ir nolemts atteikties no Ministru kabineta rīkojumiem par valsts nekustamā īpašuma, kas ir ierakstīts zemesgrāmatā, valdītāja maiņu, ja nekustamā īpašuma valdītājs mainās no ministrijas uz ministriju, t.i., izmaiņas attiecas uz tādiem nekustamajiem īpašumiem, kas jau ir reģistrēti zemesgrāmatā un tās īpašnieks ir valsts.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likuma “Par nekustamā īpašuma ierakstīšanu zemesgrāmatā” 36. panta otrā daļa, kā arī likuma “Par valsts un pašvaldību zemes īpašuma tiesībām un to nostiprināšanu zemesgrāmatā” 8. pants tiek piemērots un attiecas uz nekustamā īpašuma, attiecīgi ēkas (būves) vai zemes pirmreizēju ierakstīšanu zemesgrāmatā, savukārt virzītās izmaiņas attiecas uz jau zemesgrāmatā ierakstītiem nekustamajiem īpašumiem, kuru īpašnieks ir valsts attiecīgās ministrijas personā. Līdz ar to, valdītāja maiņas gadījumā, attiecībā uz valsts nekustamo īpašumu, kas jau ir ierakstīts zemesgrāmatā, kad valdītājs mainās no ministrijas uz ministriju, nav saredzami šķēršļi un šajā procesā būtu pietiekams ar šajā procesā iesaistīto ministriju lēmumiem ( izteikta abu pušu vienošanās, ka viena ministrija pieņem lēmumu par īpašuma nodošanu, otra ministrija par nekustamā īpašuma pārņemšanu un p/n aktu), kas būtu iesniedzami Zemesgrāmatu nodaļā un būtu par pamatu valdītāja maiņai (īpašnieks nemainās – valsts).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to, ka abu ministriju pieņemtie lēmumi un savstarpējs p/n būtu pietiekami, lai varētu valsts nekustamajam īpašumam nomainīt valdītāju no ministrijas uz ministriju, atsevišķā kārtība noteikumos, vai grozījumi citos normatīvajos aktos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Ministru kabineta rīkojuma projekta iesniegšanu par attiecīgā valsts nekustamā īpašuma nodošanu tās valdījumā vai turējumā vai atvasinātas publiskas personas īpašumā. Ja mainās valsts nekustamā īpašuma valdītājs no ministrijas uz ministriju, attiecīgā ministrija nodrošina ministrijas lēmuma par valdītāja maiņu iesniegšanu ministrijai, kura virzījusi Ministru kabineta rīkojuma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- 31.07.2026.)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labad lūdzam precizēt 13.2. apakspunkta otro teikumu, nosakot, ka Ministru kabineta rīkojuma gatavošana nav nepieciešama, ja mainās valsts nekustamā īpašuma valdītājs no ministrijas uz ministriju. 
</w:t>
            </w:r>
            <w:r w:rsidR="00000000" w:rsidRPr="00000000" w:rsidDel="00000000">
              <w:rPr>
                <w:rtl w:val="0"/>
              </w:rPr>
              <w:t xml:space="preserve">Vienlaikus no 13.2. apakspunkta pirmā teikuma izriet pienākums gatavot Ministru kabineta rīkojuma projektu, ja mainās valsts nekustamā īpašuma valdītājs. Lūdzam skaidrot kuros gadījumos šī prasība ir piemērojama, ja otrajā teikumā ir noteikts, ka valdītāja maiņas gadījumā nav nepieciešams Ministru kabineta rīkojums.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nav nepieciešams precizēt un atsevišķi MKN 109 13.2. apakšpunkta otrajā teikumā norādīt, ka šajā gadījumā nav nepieciešams Ministru kabineta rīkojums, ja nekustamā īpašuma valdītājs mainās no ministrijas uz ministriju, ņemot vērā to, ka jau šobrīd virzītajā normā (MKN 109 13.2. apakšpunktā) tiek noteikts, ja mainās valsts nekustamā īpašuma valdītājs no ministrijas uz ministriju, attiecīgā ministrija nodrošina ministrijas lēmuma par valdītāja maiņu iesniegšanu ministrijai, kura virzījusi Ministru kabineta rīkojuma projektu, kas jau norāda uz to, ka Ministru kabineta rīkojums šādā gadījumā nav nepieciešams. Turklāt, no šobrīd virzītās normas priekšlikuma jau uzreiz saprotama rīcība, t.i., ir jāpieņem ministrijas lēmums nevis Ministru kabineta lēmums, kas iesniedzams ministrijai, kura attiecīgi virzījuši projektu par nekustamā īpašuma atsavināšanu TAP portālā ( ja mainās valdītājs no ministrijas uz ministriju). Turklāt, papildus norādot normā ( MKN 109 13.2. apakšpunktā), ka Ministru kabineta rīkojums nav nepieciešams, rada liekvārdību darbībai, kas nav nepieciešama, jo var konstatēt to, kas ir nepieciešams – ministrijas lēmums ( ja mainās valdītājs no ministrijas uz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MKN 109 13.1. apakšpunkta pirmais teikums neattiecas un no tā neizriet pienākums gatavot MK rīkojuma projektu valdītāja maiņas gadījumā, ja mainās valsts nekustamā īpašuma valdītājs no ministrijas uz ministriju. Tātad, ja mainās valsts nekustamā īpašuma valdītājs no ministrijas uz ministriju, attiecināms MKN 109 13.2. apakšpunkta teikums un piemērošanas kārtība, t.i., valdītāja maiņa notiek pamatojoties uz iesaistīto ministriju lēmumiem un p/n aktu. Savukārt, MKN 109 13.2. apakšpunkta 1.teikums attiecas uz tiem gadījumiem, kad valsts nekustamais īpašums ir nododams valsts iestādes, kas nav ministrija, vai valsts kapitālsabiedrības valdījumā. Piemēram, ja nekustamais īpašums ir nepieciešams un nododams valstij sabiedrības ar ierobežotu atbildību “Publisko aktīvu pārvaldītājs Possessor” valdījumā, attiecīgi ir nepieciešams Ministru kabineta rīkojums par attiecīgā nekustamā īpašuma nodošanu Possessor valdījumā. Lūdzam skatīt precizēto MKN 109 13.2.apakšpunkta redakciju.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Ministru kabineta rīkojuma projekta iesniegšanu Ministru kabinetā par attiecīgā valsts nekustamā īpašuma nodošanu tās valdījumā vai turējumā vai atvasinātas publiskas personas īpašumā vai, ja mainās valsts nekustamā īpašuma valdītājs no ministrijas uz ministriju, attiecīgā ministrija nodrošina ministrijas lēmuma par valdītāja maiņu iesniegšanu ministrijai, kura virzījusi Ministru kabineta rīkojuma projektu par attiecīgā īpašuma nodošanu atsavināšanai.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anotācijas 1.3. apakšsadaļas “Risinājuma apraksts” par noteikumu Nr. 109 papildināšanu ar 18.9. apakšpunktu precizēt atsauci uz Ministru kabineta 2011. gada 1. februāra noteikumu Nr. 109 “Kārtība, kādā atsavināma publiskas personas manta” normām, aizstājot atsauci uz šo noteikumu 20.–23.</w:t>
            </w:r>
            <w:r w:rsidR="00000000" w:rsidRPr="00000000" w:rsidDel="00000000">
              <w:rPr>
                <w:vertAlign w:val="superscript"/>
                <w:rtl w:val="0"/>
              </w:rPr>
              <w:t xml:space="preserve">5 </w:t>
            </w:r>
            <w:r w:rsidR="00000000" w:rsidRPr="00000000" w:rsidDel="00000000">
              <w:rPr>
                <w:rtl w:val="0"/>
              </w:rPr>
              <w:t xml:space="preserve">punktu ar atsauci uz 20. un 21. punktu. 20. punkts regulē vajadzības pēc nevajadzīgās valsts kustamās mantas noskaidrošanu un informācijas par to publicēšanu, savukārt 21. punkts par pieteikšanos uz minēto mantu. Noteikumu 22. punkts ir svītrots, bet 22.</w:t>
            </w:r>
            <w:r w:rsidR="00000000" w:rsidRPr="00000000" w:rsidDel="00000000">
              <w:rPr>
                <w:vertAlign w:val="superscript"/>
                <w:rtl w:val="0"/>
              </w:rPr>
              <w:t xml:space="preserve">1</w:t>
            </w:r>
            <w:r w:rsidR="00000000" w:rsidRPr="00000000" w:rsidDel="00000000">
              <w:rPr>
                <w:rtl w:val="0"/>
              </w:rPr>
              <w:t xml:space="preserve"> un 23.–23.</w:t>
            </w:r>
            <w:r w:rsidR="00000000" w:rsidRPr="00000000" w:rsidDel="00000000">
              <w:rPr>
                <w:vertAlign w:val="superscript"/>
                <w:rtl w:val="0"/>
              </w:rPr>
              <w:t xml:space="preserve">5</w:t>
            </w:r>
            <w:r w:rsidR="00000000" w:rsidRPr="00000000" w:rsidDel="00000000">
              <w:rPr>
                <w:rtl w:val="0"/>
              </w:rPr>
              <w:t xml:space="preserve"> punkts attiecas uz īpašiem mantas nodošanas bez atlīdzības un komercdarbības atbalsta gadījumiem, tādēļ atsauce uz visu minēto punktu diapazonu varētu būt pārlieku plaša un konkrētajā gadījumā nav nepieciešama.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Atsavināšanas likumā noteikto pēc būtības, t.i., ka Atsavināšanas likums regulē publiskas personas mantas atsavināšanu un to, ka Atsavināšanas likumā noteiktie izņēmuma gadījumi var būt arī neatbilstoši konkrētās situācijās un attiecīgi ir ievērojams vispārējais Atsavināšanas likumā un MKN 109 noteiktais regulējums par publisku personu un tās iestāžu vajadzību noskaidrošanu (</w:t>
            </w:r>
            <w:r w:rsidR="00000000" w:rsidRPr="00000000" w:rsidDel="00000000">
              <w:rPr>
                <w:b w:val="1"/>
                <w:rtl w:val="0"/>
              </w:rPr>
              <w:t xml:space="preserve">MKN 109 20. un 21. punkts</w:t>
            </w:r>
            <w:r w:rsidR="00000000" w:rsidRPr="00000000" w:rsidDel="00000000">
              <w:rPr>
                <w:rtl w:val="0"/>
              </w:rPr>
              <w:t xml:space="preserve">), t.sk. minētās informācijas publiskošanu VAS "Valsts nekustamie īpašumi" tīmekļvietnē, Finanšu ministrijas ieskatā ir nepieciešams virzīt regulējuma izmaiņas, lai informāciju pirms cirsmu izsoles vai to rezultātā nocirsto/ iegūtā kokmateriāla izsoles nebūtu jāpublicē mājaslapā, tādējādi nenoskaidrojot citu publisku personu vai tās iestāžu vajadzību un attiecīgi to varētu atsavināt saskaņā ar Atsavināšanas likumā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Skaidrojam, ka gadījumā, ja uz iestādi ir attiecināms MKN 109 20.punktā noteiktais regulējums par citu iestāžu vajadzību noskaidrošanu pēc citai publiskai personai nevajadzīgās valsts kustamās mantas, attiecīgi tālākā procesā, t.sk. pie attiecīgās nevajadzīgās kustamās mantas nodošanas, ir piemērojama t.sk., MKN 109 23. noteiktā kārtība/ secība, kuram attiecīgā manta nododama ( ja uz iestādei nevajadzīgo mantu ir notikusi pieteikšanās), kā arī turpmākie noteikumu punkti, ja kustamā manta ir nodota sabiedriskā labuma organizācijai vai sociālajam uzņēmumam, t.sk., komercdarbības atbalsta nosacījumi. Līdz ar to Finanšu ministrijas ieskatā, anotācijā nav norādīta nekorekta atsauce uz norādītajām normām tās diapazonā ( no/līdz), kas būtu piemērojamas vajadzību noskaidrošanas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anotācijas 1.3. apakšsadaļas “Risinājuma apraksts” par noteikumu Nr. 109 1.1.</w:t>
            </w:r>
            <w:r w:rsidR="00000000" w:rsidRPr="00000000" w:rsidDel="00000000">
              <w:rPr>
                <w:vertAlign w:val="superscript"/>
                <w:rtl w:val="0"/>
              </w:rPr>
              <w:t xml:space="preserve">1</w:t>
            </w:r>
            <w:r w:rsidR="00000000" w:rsidRPr="00000000" w:rsidDel="00000000">
              <w:rPr>
                <w:rtl w:val="0"/>
              </w:rPr>
              <w:t xml:space="preserve"> apakšpunkta grozījumu precizēt atsauci uz Atsavināšanas likuma normām, norādot, ka ar 2025. gada 5. jūnija grozījumiem skaitlis “5000” ar skaitli “10 000” tika aizstāts likuma 4. panta trešajā daļā un 5. panta 3.</w:t>
            </w:r>
            <w:r w:rsidR="00000000" w:rsidRPr="00000000" w:rsidDel="00000000">
              <w:rPr>
                <w:vertAlign w:val="superscript"/>
                <w:rtl w:val="0"/>
              </w:rPr>
              <w:t xml:space="preserve">3</w:t>
            </w:r>
            <w:r w:rsidR="00000000" w:rsidRPr="00000000" w:rsidDel="00000000">
              <w:rPr>
                <w:rtl w:val="0"/>
              </w:rPr>
              <w:t xml:space="preserve">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4. panta trešā daļa ir tieši saistīta ar MKN Nr. 109 1.1.</w:t>
            </w:r>
            <w:r w:rsidR="00000000" w:rsidRPr="00000000" w:rsidDel="00000000">
              <w:rPr>
                <w:vertAlign w:val="superscript"/>
                <w:rtl w:val="0"/>
              </w:rPr>
              <w:t xml:space="preserve">1</w:t>
            </w:r>
            <w:r w:rsidR="00000000" w:rsidRPr="00000000" w:rsidDel="00000000">
              <w:rPr>
                <w:rtl w:val="0"/>
              </w:rPr>
              <w:t xml:space="preserve"> apakšpunkta grozījumu, jo tā nosaka kadastrālās vērtības slieksni, līdz kuram Ministru kabinets nosaka publisku personu vajadzību noskaidrošanas kārtību, savukārt 5. panta 3.</w:t>
            </w:r>
            <w:r w:rsidR="00000000" w:rsidRPr="00000000" w:rsidDel="00000000">
              <w:rPr>
                <w:vertAlign w:val="superscript"/>
                <w:rtl w:val="0"/>
              </w:rPr>
              <w:t xml:space="preserve">3</w:t>
            </w:r>
            <w:r w:rsidR="00000000" w:rsidRPr="00000000" w:rsidDel="00000000">
              <w:rPr>
                <w:rtl w:val="0"/>
              </w:rPr>
              <w:t xml:space="preserve"> daļa nosaka attiecīgā nekustamā īpašuma valdītāja kompetenci pieņemt lēmumu par tāda valsts nekustamā īpašuma pārdošanu, kura kadastrālā vērtība ir zemāka par 10 000 euro. Tādējādi abu normu norādīšana anotācijā  varētu labāk atspoguļot gan MKN Nr. 109 grozījuma tiešo tiesisko pamatu, gan mērķi atslogot Ministru kabinetu.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Publiskas personas mantas atsavināšanas likuma (turpmāk – Atsavināšanas likums) 5.panta 3.3 daļas normas mērķi, t.i., lai lēmumu pieņemšanas procesu par publiskas personas mantas pārdošanu padarītu efektīvāku, un atslogotu Ministru kabinetu no lēmumu pieņemšanas attiecībā par mazāk vērtīgu nekustamo īpašumu atsavināšanu, ar 2025.gada 5.jūnija grozījumiem Atsavināšanas likumā 4. panta </w:t>
            </w:r>
            <w:r w:rsidR="00000000" w:rsidRPr="00000000" w:rsidDel="00000000">
              <w:rPr>
                <w:b w:val="1"/>
                <w:rtl w:val="0"/>
              </w:rPr>
              <w:t xml:space="preserve">trešajā daļā un 5. panta 3.</w:t>
            </w:r>
            <w:r w:rsidR="00000000" w:rsidRPr="00000000" w:rsidDel="00000000">
              <w:rPr>
                <w:b w:val="1"/>
                <w:vertAlign w:val="superscript"/>
                <w:rtl w:val="0"/>
              </w:rPr>
              <w:t xml:space="preserve">3</w:t>
            </w:r>
            <w:r w:rsidR="00000000" w:rsidRPr="00000000" w:rsidDel="00000000">
              <w:rPr>
                <w:b w:val="1"/>
                <w:rtl w:val="0"/>
              </w:rPr>
              <w:t xml:space="preserve"> daļā</w:t>
            </w:r>
            <w:r w:rsidR="00000000" w:rsidRPr="00000000" w:rsidDel="00000000">
              <w:rPr>
                <w:rtl w:val="0"/>
              </w:rPr>
              <w:t xml:space="preserve"> skaitlis "5000" tika aizstāts ar skaitli "10000", tādējādi paredzot palielināt kadastrālās vērtības slieksni no 5 000 euro līdz 10 000 euro, līdz kuram lēmumu par nekustamā īpašuma atsavināšanu var pieņemt attiecīgā nekustamā īpašuma valdītājs, nevirzot attiecīgo jautājumu izskatīšanai Ministru kabinetā, līdz ar to ir attiecīgi nepieciešams salāgot MKN 109 1.1.1 apakšpunktā noteikto kadastrālās vērtības slieksni ar Atsavināšanas likumā noteikto kadastrālās vērtības slieksni.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precizējumi veikti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anotācijas 1.3. apakšsadaļas laukos “Problēmas apraksts” un “Risinājuma apraksts” ietverto informāciju par noteikumu Nr. 109 papildināšanu ar 18.9. apakšpunktu salāgot ar noteikumu projekta 3. punktā ietverto 18.9. apakšpunkta redakciju. Proti, abos aprakstos aizstāt formulējumus, kuros cirsma vai vēl nenocirstie koki apzīmēti kā kustamā manta, un konsekventi nošķirt koku ciršanas tiesību kopā ar īpašuma tiesībām uz nocirstajiem kokiem atsavināšanu no cirsmas izstrādes rezultātā iegūtās koksnes produkcijas atsavināšanas.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piedāvājam: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fragmentu “kā kustamā manta tiek izsolīti vēl nenocirstie koki” aizstāt ar “tiek izsolītas koku ciršanas tiesības kopā ar īpašuma tiesībām uz nocirstajiem kokiem”;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fragmentu “ja atsavina cirsmu kā valsts kustamo mantu un tajā iegūto produkciju” aizstāt ar “ja atsavina koku ciršanas tiesības kopā ar īpašuma tiesībām uz nocirstajiem kokiem, kā arī cirsmas izstrādes rezultātā iegūto koksnes produkciju”;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fragmentu “ja tiek atsavināta cirsma vai tās rezultātā nocirstie koki” aizstāt ar “ja tiek atsavinātas koku ciršanas tiesības kopā ar īpašuma tiesībām uz nocirstajiem kokiem vai tiek atsavināta cirsmas izstrādes rezultātā iegūtā koksnes produkcija”.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"Jautājums par koku ciršanas tiesībām un īpašumtiesībām uz nocirstajiem kokiem ir katrā konkrētā gadījumā vērtējams jautājums, t.sk. no piemērojamā regulējuma, piemēram, vai attiecīgajā gadījumā tiek iepirkti atsevišķi mežistrādes pakalpojumi un pēc tam kā kustamā manta atsavināti jau nocirstie koki vai arī </w:t>
            </w:r>
            <w:r w:rsidR="00000000" w:rsidRPr="00000000" w:rsidDel="00000000">
              <w:rPr>
                <w:b w:val="1"/>
                <w:rtl w:val="0"/>
              </w:rPr>
              <w:t xml:space="preserve">tiek izsolītas koku ciršanas tiesības un īpašuma tiesības uz nocirstajiem kokiem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"Paredzēts papildināt MKN 109 18.punktu ar jaunu 18.9. apakšpunktu, nosakot jaunu izņēmuma gadījumu, kurā nav jānoskaidro valsts iestāžu un atvasinātu publisku personu vai to iestāžu vajadzību pēc ministrijas, tās padotībā esošas iestādes vai kapitālsabiedrības valdījumā vai turējumā esošās nevajadzīgās valsts kustamās mantas, t.i., </w:t>
            </w:r>
            <w:r w:rsidR="00000000" w:rsidRPr="00000000" w:rsidDel="00000000">
              <w:rPr>
                <w:b w:val="1"/>
                <w:rtl w:val="0"/>
              </w:rPr>
              <w:t xml:space="preserve">koku ciršanas tiesības un īpašuma tiesības uz nocirstajiem kokiem, kā arī cirsmas izstrādes rezultātā iegūto produkciju.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Paredzot šādu izņēmumu, ja tiek atsavinātas koku ciršanas tiesības un īpašuma tiesības uz nocirstajiem kokiem vai cirsmas izstrādes rezultātā iegūtā produkcija</w:t>
            </w:r>
            <w:r w:rsidR="00000000" w:rsidRPr="00000000" w:rsidDel="00000000">
              <w:rPr>
                <w:rtl w:val="0"/>
              </w:rPr>
              <w:t xml:space="preserve">, nebūtu attiecināmi noteikumi par citu vajadzību noskaidrošanu un attiecīgi varētu šo kustamo mantu atsavināt saskaņā ar Atsavināšanas likumā noteikto kārtību, piemēram, rīkojot izsoli."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Lūdzam skatīt skaidrojumu kopsakarā ar izziņas 8.punktā sniegto skaidrojumu par to, kāpēc tiek lietots termins “cirsma” kā kustamā manta un kāpēc netiek lietots jēdziens “ciršanas tiesības un īpašuma tiesības uz nocirstajiem kokiem”.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Sākotnējās ietekmes novērtējuma ziņojumā norādīts, ka jautājums par koku ciršanas tiesībām un īpašumtiesībām uz nocirstajiem kokiem ir katrā konkrētā gadījumā vērtējams jautājums, t.sk. no piemērojamā regulējuma, piemēram, vai attiecīgajā gadījumā tiek iepirkti atsevišķi mežistrādes pakalpojumi un pēc tam kā kustamā manta atsavināti jau nocirstie koki vai arī kā kustamā manta tiek izsolīti vēl nenocirstie koki. Paredzēts papildināt noteikumu 18.punktu ar jaunu 18.9. apakšpunktu, nosakot jaunu izņēmuma gadījumu, kurā nav jānoskaidro valsts iestāžu un atvasinātu publisku personu vai to iestāžu vajadzību pēc ministrijas, tās padotībā esošas iestādes vai kapitālsabiedrības valdījumā vai turējumā esošās nevajadzīgās valsts kustamās mantas, t.i., ja atsavina cirsmu kā valsts kustamo mantu un tajā iegūto produkciju. Paredzot šādu izņēmumu, ja tiek atsavināta cirsma vai tās rezultātā nocirstie koki, nebūtu attiecināmi noteikumi par citu vajadzību noskaidrošanu un attiecīgi varētu šo kustamo mantu atsavināt saskaņā ar Publiskas personas mantas atsavināšanas likumā noteikto kārtību, piemēram, rīkojot izsoli. Vienlaikus norādīts, ka minētais izņēmums neattiecas uz vienkāršu koku ciršanu, piemēram, apsaimniekošanas līguma ietvaros, bet gan cirsmas (koku) izciršanas un realizācijas tiesībām uz kokiem, piemēram, atmežojot publiskas personas nekustamo īpašumu kādā nekustamā īpašuma zemes gabala nogabalā, paredzot, ka izsoles uzvarētājs t.sk. atmežo un iegūst īpašumtiesības uz šo atmežoto mantu (kokiem).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papildu skaidrot, kas ir saprotams ar “vienkārša koku ciršana” un kāpēc izņēmums nebūtu attiecināms uz gadījumiem, kad atsavināmie koki izcirsti apsaimniekošanas pakalpojuma līguma ietvaros (ja kustamā manta nav atzīstama par utilizējamu atkritumu).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vienkāršu koku ciršanu tiek saprasta dažu koku ciršana. Nocērtot šos dažus kokus, tie uzskatāmi par valsts kustamo mantu, kurai piemērojama MKN 109 noteiktā kārtība par vajadzību noskaidrošanu pretēji tam, kā tiek paredzēts izņēmuma gadījumā, proti, izņēmums attiecas uz cirsmu un cirsmā nocirstajiem/ iegūtajiem kokiem, kā arī uz gadījumiem,  piemēram, ja pakalpojumā tiek nocirsti cirsmā koki, bet tie paliek publiskai personai (pārdod atsevišķi). Bet tas neattiecas uz visiem pārējiem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atsavināšanas ierosinātāja personu apliecinoša dokumenta kopiju (fiziskai personai);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- 03.08.2026.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4.9. un 5.1. punktus, kas nosaka pienākumu fiziskajai personai atsavināšanas ierosinājumam pievienot personu apliecinoša dokumenta kopiju.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minētā prasība vairs nav nepieciešama un rada lieku administratīvo slogu atsavināšanas ierosinātājiem. Ievērojama daļa atsavināšanas ierosinājumu tiek iesniegti elektroniski, parakstot tos ar drošu elektronisko parakstu, kas nodrošina personas identifikāciju un parakstītāja autentiskumu. Savukārt gadījumos, kad rodas nepieciešamība pārliecināties par personas identitāti vai iesniegumā norādītajiem personas datiem, institūcijai ir iespēja pārbaudīt attiecīgo informāciju Iedzīvotāju reģistrā normatīvajos aktos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informējam, ka šobrīd EM piedāvātais priekšlikums nav ņemams vērā, tā kā atsavināšanas ierosinātājam iesniegt personu apliecinošu dokumenta kopiju ir nepieciešams, jo, piemēram, gadījumos, kad atsavināšanas ierosinātājs ir citas valsts pilsonis, Fizisko personu reģistrā par šīm personām informācija nav pieejama. Tāpat informējam, ka saskaņā ar VAS "Valsts nekustamie īpašumi" (turpmāk - VNĪ) sniegto informāciju, papildus atsavināšanas ierosinājuma anketā VNĪ arī lūdz personām norādīt visas pilsonības, jo, ņemot vērā VNĪ pieredzi, ir iespējama ne tikai Latvijas/ Krievijas dubultpilsonība, bet arī tādām Eiropas Savienības dalībvalstīm kā Malta un Kipra ir iespējama dubultpilsonība ar Krieviju un Baltkrieviju.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atsavināšanas ierosinātāja personu apliecinoša dokumenta kopiju (fiziskai personai);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 cirsmu kā valsts kustamo mantu un tajā iegūto produkciju.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precizēt projekta 18.9. apakšpunkta redakciju, jo formulējums “cirsmu kā valsts kustamo mantu” nav juridiski viennozīmīgs un neatbilst normatīvajos aktos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 gada 18. decembra noteikumu Nr. 935 “Noteikumi par koku ciršanu mežā” 67. punktā cirsma definēta kā viens vai vairāki savstarpēji robežojošies meža nogabali vai to daļas, kuros veic vai plāno veikt koku ciršanu. Tādējādi cirsma apzīmē noteiktu meža teritoriju jeb nekustamā īpašuma daļu, nevis kustamo mantu. Šāds secinājums izriet arī no Civillikuma 842. pantā noteiktā kustamu un nekustamu lietu nošķīruma. Arī vispārlietotajā nozares terminoloģijā cirsma tiek saprasta kā meža nogabals, kurā paredzēts izstrādāt vai tiek izstrādāts mežs.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publisko izsoļu praksē ar cirsmas atsavināšanu tiek saprasti atšķirīgi juridiskie objekti - pati cirsma, augoši koki, koku ciršanas tiesības vai cirsmas izstrādes tiesības. Līdz ar to pašreizējais formulējums neļauj nepārprotami noteikt, kas tieši projekta 18.9. apakšpunkta izpratnē uzskatāms par atsavināmo kustamo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2. panta trešajā daļā un Meža likuma 4. pantā tiek lietots formulējums “koku ciršanas tiesības un īpašuma tiesības uz nocirstajiem kokiem”. T</w:t>
            </w:r>
            <w:r w:rsidR="00000000" w:rsidRPr="00000000" w:rsidDel="00000000">
              <w:rPr>
                <w:rtl w:val="0"/>
              </w:rPr>
              <w:t xml:space="preserve">ādēļ 18.9. apakšpunktā atsavināšanas objektu varētu noteikt, izmantojot normatīvajos aktos jau nostiprināto terminoloģiju, nevis vispārīgo formulējumu “cirsma kā valsts kustamā manta”.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ar 18.9.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 koku ciršanas tiesības un īpašuma tiesības uz nocirstajiem kokiem vai cirsmas izstrādes rezultātā iegūto koksnes produkciju."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sagatavojot attiecīgos grozījumus, konsultējās ar Zemkopības ministriju par korektākās/ pareizākās terminoloģijas ieviešanu MKN 109 noteikumu projektā izņēmuma gadījumam un attiecīgā norma ir saskaņota un no meža apsaimniekošanas tiesību aktu prizmas korekta.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2012.gada 18.decembra noteikumu Nr.935 “Noteikumi par koku ciršanu mežā” 67.punktam cirsma ir viens vai vairāki meža nogabali vai to daļas, kas savstarpēji robežojas un kuros veic vai plāno veikt koku ciršanu.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atsavinot cirsmu, tās ir tiesības nocirst un iegūt tajā ( meža nogabalā) esošos nocirstos kokus bez nekustamā īpašuma zemes iegūšanas. Nocirstie koki pēc atdalīšanas no zemes vienības ir uzskatāmi par kustamo mantu ( jo tiek pārdota bez nekustamā īpašuma), līdz ar to, paredzētajā izņēmuma gadījumā tiek lietots termins “cirsma” kā valsts kustamā manta, t.sk. termins “cirsma” tiek lietots, lai izņēmums attiektos uz cirsmu tieši nevis uz vienkārši augošu koku nociršanu, piemēram, apsaimniekošanas līguma ietvaros. Savukārt termins “produkcija” tiek lietots atbilstoši Publiskas personas mantas atsavināšanas likuma 2.panta trešajā daļā noteiktajam. Līdz ar to, lai neradītu interpretācijas riskus uz situācijām uz kurām nav attiecināms sagatavotais izņēmums, Finanšu ministrija virza izņēmuma gadījumu tās sagatavotajā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 cirsmu kā valsts kustamo mantu un tajā iegūto produkciju.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26-TA-1266</w:t>
    </w:r>
    <w:r>
      <w:br/>
    </w:r>
    <w:r w:rsidR="00000000" w:rsidRPr="00000000" w:rsidDel="00000000">
      <w:rPr>
        <w:rtl w:val="0"/>
      </w:rPr>
      <w:t xml:space="preserve">17.09.2026. 09.18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26-TA-1266</w:t>
    </w:r>
    <w:r>
      <w:br/>
    </w:r>
    <w:r w:rsidR="00000000" w:rsidRPr="00000000" w:rsidDel="00000000">
      <w:rPr>
        <w:rtl w:val="0"/>
      </w:rPr>
      <w:t xml:space="preserve">17.09.2026. 09.18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Izziņa_26-TA-1266.docx</dc:title>
</cp:coreProperties>
</file>

<file path=docProps/custom.xml><?xml version="1.0" encoding="utf-8"?>
<Properties xmlns="http://schemas.openxmlformats.org/officeDocument/2006/custom-properties" xmlns:vt="http://schemas.openxmlformats.org/officeDocument/2006/docPropsVTypes"/>
</file>