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(Latvijas Vēstnesis, 2024, 89.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Apvienoto pieaugušo izglītības koordinācijas komisiju (turpmāk – APIKK) un atjaunot iepriekšējo redakciju, kur norādīta Ekonomikas ministrijas komisija, proti, saglabāt šo formulējumu 15.3. punktā, 39. punktā, 60. punktā un 61. punktā, attiecīgi veicot arī nepieciešamās izmaiņas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apstiprināšanas ilgumu APIKK ietvaros un saistītos birokrātiskos procesus, secināts, ka pašreizējais saskaņošanas process var ilgt līdz sešiem mēnešiem, kas ir nepamatoti ilgs. Līdz ar to mācību īstenošana var sākties vien 7–8 mēnešus pēc darba tirgus vajadzību apstiprināšanas. Cilvēkkapitāla padomes sēdē (protokols Nr. 11) tika izskatīts jautājums par APIKK darbības procesu un iespējamo reorganizāciju vai likvidāciju, ņemot vērā, ka APIKK galvenais uzdevums ir mācību piedāvājuma apstiprināšana, kamēr Cilvēkkapitāla padome (CAP) apstiprina darba tirgus vajadzību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notiek darbs pie Cilvēkkapitāla attīstības pārvaldības modeļa pilnveides, tostarp izvērtējot APIKK uzdevumus un funkcijas, uzskatām par nepamatotu norādīt konkrētu komisijas nosaukumu. Šāds formulējums tikai palielinātu birokrātisko slogu, jo jebkādas izmaiņas komisijas nosaukumā nākotnē prasītu grozījumus MK noteikumos. Ekonomikas ministrijas komisija, kas nodrošina mācību piedāvājuma apstiprināšanu, tiks saglabāta, vienlaikus paredzot iespēju tās funkcionālu pilnveidi un nosaukuma maiņu, lai nodrošinātu efektīvāku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saglabājot atsauci uz Ekonomikas ministrijas komisiju, tiek nodrošināta elastība un iespēja nepieciešamības gadījumā transformēt komisiju efektīvākā darbības modelī, neietekmējot normatīvā akta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15.3. apakšpunkts, 39. punkts, 60. punkts un 61. punkts saglabāts sākotnējā redakcijā, tajos saglabājot Ekonomikas ministrijas komisiju un dzēšot atsauci uz Apvienoto pieaugušo izglītības koordinācijas komisiju,attiecīgi veikti arī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"1.3. Pašreizējā situācija, problēmas un risinājumi" apakšsadaļas "Risinājuma apraksts" 2.punktā norādīto jauno apakšpunktu (24.11.4.</w:t>
            </w:r>
            <w:r w:rsidR="00000000" w:rsidRPr="00000000" w:rsidDel="00000000">
              <w:rPr>
                <w:vertAlign w:val="superscript"/>
                <w:rtl w:val="0"/>
              </w:rPr>
              <w:t xml:space="preserve">1</w:t>
            </w:r>
            <w:r w:rsidR="00000000" w:rsidRPr="00000000" w:rsidDel="00000000">
              <w:rPr>
                <w:rtl w:val="0"/>
              </w:rPr>
              <w:t xml:space="preserve">) uz 21.11.4.</w:t>
            </w:r>
            <w:r w:rsidR="00000000" w:rsidRPr="00000000" w:rsidDel="00000000">
              <w:rPr>
                <w:vertAlign w:val="superscript"/>
                <w:rtl w:val="0"/>
              </w:rPr>
              <w:t xml:space="preserve">1</w:t>
            </w:r>
            <w:r w:rsidR="00000000" w:rsidRPr="00000000" w:rsidDel="00000000">
              <w:rPr>
                <w:rtl w:val="0"/>
              </w:rPr>
              <w:t xml:space="preserve"> apakšpunktu, kā arī papildināt ar 31.1.apakšpunktu.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jaunu apakšpunktu, t.i. 21.11.4.</w:t>
            </w:r>
            <w:r w:rsidR="00000000" w:rsidRPr="00000000" w:rsidDel="00000000">
              <w:rPr>
                <w:vertAlign w:val="superscript"/>
                <w:rtl w:val="0"/>
              </w:rPr>
              <w:t xml:space="preserve">1</w:t>
            </w:r>
            <w:r w:rsidR="00000000" w:rsidRPr="00000000" w:rsidDel="00000000">
              <w:rPr>
                <w:rtl w:val="0"/>
              </w:rPr>
              <w:t xml:space="preserve"> , kas kā papildu atbalsta pasākumu mērķa grupas personu iesaistei šo noteikumu 21.5., 21.6., 21.7., 21.8. un 21.9. apakšpunktā minētajās atbalstāmajās darbībās paredz atbalstu bērnu ar invaliditāti uzraudzības pakalpojumu nodrošināšanai atbilstoši mācību ilgumam nodarbinātajiem, kuru aprūpē ir bērns ar invaliditāti vai pilngadīga persona, kura nav sasniegusi 24 gadu vecumu, ja tai ir noteikta I vai II invaliditātes grupa. Vienlaikus papildinot arī noteikumu 31.1.apakšpunktu, 31. punktu un tajā ietverto jaunu apakšpunktu, kas nosaka, ka atbalstu piešķir par bērnu ar invaliditāti vai par pilngadīgu personu, kura nav sasniegusi 24 gadu vecumu, ja tai ir noteikta I vai II invaliditātes grupa, atbilstoši nodarbinātās personas mācību norises grafikam un nodarbību apmeklējumam šo noteikumu 21.5., 21.6., 21.7., 21.8. un 21.9. apakšpunktā minētajās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"1.3. Pašreizējā situācija, problēmas un risinājumi" apakšsadaļas "Risinājuma apraksts" 3.punktu ar MK noteikumu projekta 21.11.4.</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23.10.2. apakšpunktu, nosakot ka finanšu atlīdzība bērna uzraudzības pakalpojumu nodrošināšanai mācību laikā šo noteikumu 21.11.4. un 21.11.4.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(ja nodarbinātais piedalās šo noteikumu 21.5., 21.6., 21.7., 21.8. un 21.9. apakšpunktā minētajās atbalstāmajās darbībās), nepārsniedzot vienam nodarbinātajam bērnu uzraudzības pakalpojumu saistīto izdevumu kompensācijas apmēru 10,08 euro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savstarpēji saskaņotu informāciju ar MK noteikumu projekta 43.punkta piedāvāto redakciju, lūdzam precizēt un papildināt anotācijas sadaļas "1.3. Pašreizējā situācija, problēmas un risinājumi" apakšsadaļas "Risinājuma apraksts" 9.punktā norādīto tekstu “...un ģimenes, kuras aprūpē ir bērns ar invaliditāti vai pilngadīga persona, kura nav sasniegusi 24 gadu vecumu, ja tai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 43. punktā finansējuma saņēmējam noteiktos nosacījumus par mērķa grupas personu atbilstības pārbaudi un noteikt ka atbilstības pārbaudē finansējuma saņēmējs sadarbojas ar Sabiedrības integrācijas fondu, lai pārbaudītu daudzbērnu ģimenes statusa un ģimenes, kuras aprūpē ir bērns ar invaliditāti vai pilngadīga persona, kura nav sasniegusi 24 gadu vecumu, ja tai ir noteikta I vai II invaliditātes grupa statusa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norādīts, ka </w:t>
            </w:r>
            <w:r w:rsidR="00000000" w:rsidRPr="00000000" w:rsidDel="00000000">
              <w:rPr>
                <w:i w:val="1"/>
                <w:rtl w:val="0"/>
              </w:rPr>
              <w:t xml:space="preserve">Ekonomikas ministrija </w:t>
            </w:r>
            <w:r w:rsidR="00000000" w:rsidRPr="00000000" w:rsidDel="00000000">
              <w:rPr>
                <w:i w:val="1"/>
                <w:u w:val="single"/>
                <w:rtl w:val="0"/>
              </w:rPr>
              <w:t xml:space="preserve">mācību vajadzību apzināšanu un nozaru vajadzību pasūtījumu veidošanu</w:t>
            </w:r>
            <w:r w:rsidR="00000000" w:rsidRPr="00000000" w:rsidDel="00000000">
              <w:rPr>
                <w:i w:val="1"/>
                <w:rtl w:val="0"/>
              </w:rPr>
              <w:t xml:space="preserve"> 4.2.4.2. pasākumā nodrošinās bez finansējuma no ES fondu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ministrijai kā sadarbības partnerim saskaņā ar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noteikumi Nr. 283) 21.1. apakšpunktā noteikto atbalstāmo darbību ir jāveic arī </w:t>
            </w:r>
            <w:r w:rsidR="00000000" w:rsidRPr="00000000" w:rsidDel="00000000">
              <w:rPr>
                <w:u w:val="single"/>
                <w:rtl w:val="0"/>
              </w:rPr>
              <w:t xml:space="preserve">mācību piedāvājumu apkopošana un iegūto rezultātu analīze nozaru vajadzību pasūtījumam atbilstošu mācību piedāvājumu atlasei</w:t>
            </w:r>
            <w:r w:rsidR="00000000" w:rsidRPr="00000000" w:rsidDel="00000000">
              <w:rPr>
                <w:rtl w:val="0"/>
              </w:rPr>
              <w:t xml:space="preserve">, lūdzam papildināt anotāciju ar informāciju, vai arī minētās darbības īstenošanai Ekonomikas ministrijai kā sadarbības partnerim nav paredzēts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vai 2024. gada 17. jūlijā apstiprinātajā Apvienotās pieaugušo izglītības koordinācijas komisijas nolikumā vai kādā citā dokumentā vai tiesību aktā ir atrunāti visi tie sadarbības nosacījumi, kas nav noteikti noteikumos Nr. 283, bet kurus atbilstoši Ministru kabineta 2023. gada 13. jūlija noteikumu Nr. 408 "Kārtība, kādā Eiropas Savienības fondu vadībā iesaistītās institūcijas nodrošina šo fondu ieviešanu 2021.–2027. gada plānošanas periodā" 6. punktam būtu jāiekļauj sadarbības līgumā (piemēram, piešķirto finanšu līdzekļu izmaksas apturēšanas, izmaksas turpināšanas un atgūšanas kārtība, ja projekta finansējums Ekonomikas ministrijai kā sadarbības partnerim tomēr ir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ministrijai kā sadarbības partnerim paredzētās darbības un atbildības 4.2.4.2. pasākumā ir noteiktas MK noteikumos Nr.283 un par to īstenošanu Ekonomikas ministrijai netiek paredzēts piešķirt finansējumu 4.2.4.2. pasākuma ietvaros. Ekonomikas ministrija mācību vajadzību apzināšanu un nozaru vajadzību pasūtījumu veidošanu, kā arī mācību piedāvājuma apkopošanu un iegūto rezultātu analīzi nozaru vajadzību pasūtījumam atbilstošu mācību piedāvājumu atlasei veiks Ekonomikas ministrijai piešķirto resursu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norādīts, ka</w:t>
            </w:r>
            <w:r w:rsidR="00000000" w:rsidRPr="00000000" w:rsidDel="00000000">
              <w:rPr>
                <w:i w:val="1"/>
                <w:rtl w:val="0"/>
              </w:rPr>
              <w:t xml:space="preserve"> Attiecīgi no MK noteikumu Nr.283 23.11.7. apakšpunkta nosacījumiem izriet, ka finansējuma saņēmējam sludinot iepirkumu nebūtu iespējams kā atlases kritēriju noteikt zemāko pakalpojuma cenu, bet būtu jāparedz, ka neformālās izglītības programmas apguvei plānotas norādītās summas. Minētais rada risku, ka potenciālajam pakalpojuma sniedzējam tiks pārmaksāts vai pienācīgi nesamaksāts par vienas mācības stundas apguvi, tādējādi ietekmējot piedāvājumu. Vienlaikus, lai novērstu situācijas, ka pakalpojuma sniedzēji iesniedz mācību piedāvājumu ar pārmērīgi dārgu vienas mācību stundas izmaksu apmēru, nepieciešams precizēt MK noteikumu Nr.283 23.11.7.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vienkāršoto izmaksu piemērošana neierobežo finansējuma saņēmēja iespējas iepirkuma veikšanai, jo īpaši attiecībā uz kritēriju noteikšanu. Skaidrojam, ka izmaksu attiecināšana ar vienkāršotajām izmaksām notiek, finansējuma saņēmējam iesniedzot maksājuma pieprasījumu sadarbības iestādei, savukārt finansējuma saņēmējs ar piegādātājiem norēķinās pēc faktiskajām izmaksām. Lūdzam neprecīzo argumentāciju svītrot no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noteikuma projekta pozitīvo ietekmi uz personu ar invaliditāti vienlīdzīgām iespējām un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personu ar invaliditāti vienlīdzīgām iespējām un tiesībām. Noteikumu projekts paredz, ka tiks nodrošināts atbalsts bērnu ar invaliditāti uzraudzības pakalpojumu nodrošināšanai atbilstoši mācību ilgumam nodarbinātajiem, kuru aprūpē ir bērns ar invaliditāti vai pilngadīga persona, kura nav sasniegusi 24 gadu vecumu, ja tai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noteikuma projekta pozitīvo ietekmi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dzimumu līdztiesību un darba, mācību un ģimenes saskaņošanu. Pasākuma ietvaros tiks paredzēts atbalsts bērnu ar invaliditāti uzraudzības pakalpojumu nodrošināšanai atbilstoši mācību ilgumam nodarbinātajiem, kuru aprūpē ir bērns ar invaliditāti vai pilngadīga persona, kura nav sasniegusi 24 gadu vecumu, ja tai ir noteikta I vai II invaliditātes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pasākuma 35.4. darbības rezultātu: pārskatītas un iespēju robežās mazinātas nacionālajos horizontālajos un specifisko atbalsta mērķu ieviešanu regulējošajos normatīvajos aktos noteiktās prasības, aicinām izvērtēt iespēju svītrot noteikumu Nr. 283 4.3. apakšpunktu, t.i. nacionālos radītājus, kā arī aicinām svītrot šo noteikumu Nr. 283 44.4. un 44.5. apakšpunktu, kuri liek finansējuma saņēmējam uzkrāt papildus datus par apmācītajām personām. Aicinām atbilstoši izvērtēt arī citas noteikumos Nr. 283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MK noteikumu projekta 4.3. apakšpunktā noteikto nacionālo rādītāju ietekmi uz finansējuma saņēmēju un secināts, ka tie nedara papildu administratīvo slogu, ievērojot to, ka attiecīgais rādītājs, proti, nodarbinātas personas ar zemu izglītības līmeni, kuras saņēmušas ESF+ atbalstu – 14 000, ietilpst kopējā iznākuma rādītāja vērtībā. Nosakot nacionālo rādītāju IZM  ir ņēmusi vērā Valsts kontroles revīzijas ziņojumā pausto ieteikumu, kas paredz IZM, LM un EM, veidojot pieaugušo izglītības politiku,  noteikt mērķus, politikas rezultātus un iznākuma rādītājus personu ar nepietiekamu izglītības līmeni iesaistei pieaugušo mācībās un plānot atbilstošus pasākumus izvirzīto mērķu sasniegšanai. Tāpat informējam, ka 4.2.4.2. pasākumā paredzētā pieaugušo izglītības kvalitātes uzraudzības sistēmas izveide, un attiecīgi paredzētais nacionālais rādītājs, ka tiek izstrādāta metodika sistēmiskai pieaugušo izglītības kvalitātes uzraudzībai un ieviešanas plāns tās īstenošanai, minētos pienākumus uzticot IKVD, izriet no Valsts konktroles ieteikuma "IZM, ņemot vērā IKVD darbības mērķi, izvērtēt IKVD uzdevumus pieaugušo izglītības projektos īstenoto izglītības programmu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arī MK noteikumu Nr. 283 44.4. un 44.5. apakšpunktā noteiktās prasības finansējuma saņēmējam nerada papildu slogu finansējuma saņēmējam, bet ir tieši saistītas ar projekta mērķi un sasniedzamajiem rezultātiem. Prasība uzkrāt datus par personām, kas pilnveidojušas kompetenci un apguvušas zaļās un digitālās pārejas prasmes tostarp nepieciešams, ievērojot to, ka 4.2.4.2. pasākumam noteikts ESF+ sekundārās tēmas intervences kods Nr.1 "Veicināt zaļās prasmes un darbavietas un zaļo ekonomiku". Savukārt prasība uzkrāt datus par atbalstu saņēmušo personu skaitu, kas ir nodarbinātie ar zemu izglītības līmeni, nodarbinātie, kuri pārstāv mājsaimniecību, kam piešķirts maznodrošinātas vai trūcīgas mājsaimniecības statuss, kā arī ir bēgļi vai personas ar alternatīvo statusu, nepieciešama, jo 4.2.4.2. pasākumā tiek paredzēti papildu atbalsta pasākumi mācību laikā, tostarp izmaksu atvieglojumi, šai mērķa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projekta iesnieguma apstiprināšanas finansējuma saņēmējs ar katru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sadarbības līgumu uzraudzības procesu, ierosinām 19.punktu papildināt ar jaunu apakšpunktu, kas paredz sadarbības līgumā norādīt arī sadarbības partnera īstenojamās atbalstāmās darbības un 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sadarbības partnera īstenojamās atbalstāmās darbības un 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19.punkts papildināts ar jaunu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projekta iesnieguma apstiprināšanas finansējuma saņēmējs ar katru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23.11.7. neformālās izglītības programmas apguvei šo noteikumu 21.9. apakšpunktā minētās atbalstāmās darbības īstenošanai, nepārsniedzot atbildīgās iestādes apstiprinātajā vienkāršoto izmaksu metodikā, kas saskaņota ar vadošo iestādi, noteikto vienas mācību stundas izmaksu vērtību par vienu nodarbināto un viena nodarbinātā kopējās izmaksas neformālās izglītības programmu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vienas mācību stundas izmaksu vērtība par vienu nodarbināto nedrīkst būt nekonkrēta summa (it īpaši gadījumā, ja ir izstrādāta vienkāršoto izmaksu metodika). Proti,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noteikumi Nr. 283) plānotajā 23.11.7. apakšpunkta redakcijā nevar tikt iekļauta norāde uz to, ka finansējuma saņēmēja pakalpojumu (uzņēmuma līgumu) izmaksas neformālās izglītības programmas apguvei noteikumu Nr. 283 21.9. apakšpunktā minētās atbalstāmās darbības īstenošanai </w:t>
            </w:r>
            <w:r w:rsidR="00000000" w:rsidRPr="00000000" w:rsidDel="00000000">
              <w:rPr>
                <w:b w:val="1"/>
                <w:u w:val="single"/>
                <w:rtl w:val="0"/>
              </w:rPr>
              <w:t xml:space="preserve">nepārsniedz</w:t>
            </w:r>
            <w:r w:rsidR="00000000" w:rsidRPr="00000000" w:rsidDel="00000000">
              <w:rPr>
                <w:rtl w:val="0"/>
              </w:rPr>
              <w:t xml:space="preserve"> atbildīgās iestādes apstiprinātajā vienkāršoto izmaksu metodikā, kas saskaņota ar vadošo iestādi, noteikto vienas mācību stundas izmaksu vērtību par vienu nodarbināto un viena nodarbinātā kopējās izmaksas neformālās izglītības programmu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normas redakcijas izriet, ka tiek pieļauta iespējamība, ka vienkāršoto izmaksu metodikā veiktais aprēķins ir nekorekts.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Nr. 283 23.11.7. apakšpunktu, piemēram, saglabājot tā spēkā esošo redakciju, un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283 23.11.7. apakšpunkts netiek grozīts, saglabājot to tā spēkā esošajā redakcijā, 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divas reizes gadā organizē atbildīgās iestādes un finansējuma saņēmēja starpinstitūciju sanāksmes par projekta ieviešanas progresu un citiem ar projekta īstenošanu un uzraudzību saistītiem jautājumiem. Ja nepieciešams, sanāksmēs var pieaicināt Labklājības ministrijas, Ekonomikas ministrijas, Latvijas Pašvaldību savienības, Latvijas Darba devēju konfederācijas, Latvijas Brīvo arodbiedrību savienības, Latvijas Pieaugušo izglītības apvienības un plānošanas reģionu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aicinām izvērtēt noteikumu Nr. 283 38. punkta un 44.8. apakšpunkta nepieciešamību. Vēršam uzmanību, ka saskaņā ar Eiropas Savienības fondu 2021.—2027. gada plānošanas perioda vadības likuma 12. panta trešās daļas 7. punktu </w:t>
            </w:r>
            <w:r w:rsidR="00000000" w:rsidRPr="00000000" w:rsidDel="00000000">
              <w:rPr>
                <w:u w:val="single"/>
                <w:rtl w:val="0"/>
              </w:rPr>
              <w:t xml:space="preserve">sadarbības iestādei</w:t>
            </w:r>
            <w:r w:rsidR="00000000" w:rsidRPr="00000000" w:rsidDel="00000000">
              <w:rPr>
                <w:rtl w:val="0"/>
              </w:rPr>
              <w:t xml:space="preserve"> ir pienākums </w:t>
            </w:r>
            <w:r w:rsidR="00000000" w:rsidRPr="00000000" w:rsidDel="00000000">
              <w:rPr>
                <w:i w:val="1"/>
                <w:rtl w:val="0"/>
              </w:rPr>
              <w:t xml:space="preserve">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minēto, lūdzam arī izvērtēt un svītrot noteikumu Nr. 283 plānotajā 61. punkta redakcijā norādi uz to, ka </w:t>
            </w:r>
            <w:r w:rsidR="00000000" w:rsidRPr="00000000" w:rsidDel="00000000">
              <w:rPr>
                <w:u w:val="single"/>
                <w:rtl w:val="0"/>
              </w:rPr>
              <w:t xml:space="preserve">Ekonomikas ministrijas izveidotā komisija</w:t>
            </w:r>
            <w:r w:rsidR="00000000" w:rsidRPr="00000000" w:rsidDel="00000000">
              <w:rPr>
                <w:rtl w:val="0"/>
              </w:rPr>
              <w:t xml:space="preserve"> veic regulāru projekta īstenošanas rezultātu  novērtējumu un rezultatīvo rādītāju sasniegšanas analīzi un novērtē to ietekmi uz nacionālajos un starptautiskajos dokumentos noteikto mērķu sasniegšanu. Vēršam uzmanību, ka minētās komisijas funkcijas pārklājas ar sadarbības iestādes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283 38. punkts un 44.8. apakšpunkts saglabāti, ievērojot to, ka tie nerada papildu administratīvo slogu, bet paredz atbildīgās iestādes un finansējuma saņēmēja sanāksmju organizēšanu, lai risinātu ar projekta ieviešanu saistītus saturiskus jautājumus, pilnveidojot projekta darbību un rezultātu izpildi. Turklāt 44.8. apakšpunktā paredzētais progresa ziņojums par nodarbināto mācību rezultātiem, to informēšanas pasākumiem un papildu atbalsta pasākumiem, ļaus iegūt izsmeļošu informāciju pieaugušo iesaistes mācībās un tiem nepieciešamo atbalsta pasākumu pilnveidei, ļaujot saprast kuri  uzrunāšanas kanāli strādā visefektīvāk, kā arī kādi atbalsta pasākumi mazina dalības mācībās šķēršlus.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61. punkta redakcija, tajā paredzot, ka EM komisija iepazīstas ar projekta īstenošanas rezultātu un rezultatīvo rādītāju sasniegšanas analīzi un novērtē to ietekmi uz nacionālajos un starptautiskajos dokumentos noteikto mērķu sasniegšanu pirms iesniegšanas izskatīšanā Cilvēkkapitāla attīstības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Uzsākot īstenot mērķa grupas iesaisti šo noteikumu 21.3., 21.4., 21.5., 21.6., 21.7., 21.8., 21.9.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daudzbērnu ģimenes statusu, kā arī to, vai tai piešķirts bēgļa vai alternatīvas personas statuss, ar Sabiedrības integrācijas fondu – daudzbērnu ģimenes statusa un ģimenes, kuras aprūpē ir bērns vai pilngadīga persona ar invaliditāti statusa noteikšanai, kā arī izmanto Pašvaldību sociālās palīdzības un sociālo pakalpojumu administrēšanas lietojumprogrammu maznodrošinātas vai trūcīgas mājsaimniecības statusa noteikšanai uz iesaistes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43.punkts nepārprotami saskanētu arī ar 21.11.4.</w:t>
            </w:r>
            <w:r w:rsidR="00000000" w:rsidRPr="00000000" w:rsidDel="00000000">
              <w:rPr>
                <w:vertAlign w:val="superscript"/>
                <w:rtl w:val="0"/>
              </w:rPr>
              <w:t xml:space="preserve">1</w:t>
            </w:r>
            <w:r w:rsidR="00000000" w:rsidRPr="00000000" w:rsidDel="00000000">
              <w:rPr>
                <w:rtl w:val="0"/>
              </w:rPr>
              <w:t xml:space="preserve">apakšpunktu, lūdzam precizēt un papildināt tekstu “...un ģimenes, kuras aprūpē ir bērns ar invaliditāti vai pilngadīga persona, kura nav sasniegusi 24 gadu vecumu, ja tai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Uzsākot īstenot mērķa grupas iesaisti šo noteikumu 21.3., 21.4., 21.5., 21.6., 21.7., 21.8., 21.9. un 21.10.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daudzbērnu ģimenes statusu, kā arī to, vai tai piešķirts bēgļa vai alternatīvas personas statuss, ar Sabiedrības integrācijas fondu – daudzbērnu ģimenes statusa un ģimenes, kuras aprūpē ir bērns ar invaliditāti vai pilngadīga persona, kura nav sasniegusi 24 gadu vecumu, ja tai ir noteikta I vai II invaliditātes grupa statusa noteikšanai, kā arī izmanto Pašvaldību sociālās palīdzības un sociālo pakalpojumu administrēšanas lietojumprogrammu maznodrošinātas vai trūcīgas mājsaimniecības statusa noteikšanai uz iesaistes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43.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Uzsākot īstenot mērķa grupas iesaisti šo noteikumu 21.3., 21.4., 21.5., 21.6., 21.7., 21.8., 21.9.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daudzbērnu ģimenes statusu, kā arī to, vai tai piešķirts bēgļa vai alternatīvas personas statuss, ar Sabiedrības integrācijas fondu – daudzbērnu ģimenes statusa un ģimenes, kuras aprūpē ir bērns ar invaliditāti vai pilngadīga persona, kura nav sasniegusi 24 gadu vecumu, ja tai ir noteikta I vai II invaliditātes grupa statusa noteikšanai, kā arī izmanto Pašvaldību sociālās palīdzības un sociālo pakalpojumu administrēšanas lietojumprogrammu maznodrošinātas vai trūcīgas mājsaimniecības statusa noteikšanai uz iesaistes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nodrošina, ka Atveseļošanas un noturības mehānisma 2.3.1.4.i. investīcijas pasākuma ietvaros izstrādātā prasmju pārvaldības platforma un individuālo mācību kontu pieeja tiek turpināta pasākuma ietvaros un nodrošina individuālo mācību kontu lietošanu pasākumā iesaistītajiem nodarbinātajiem. Mērķa grupas personai, reģistrējoties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77. un 78. punktā noteiktie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noteikumu Nr. 283 45. punktā plānots iekļaut regulējumu par personas datu apstrādi, aicinām izvērtēt nepieciešamību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Nr.283 45. punkta redakcija redakcionāli precizēta, svītrojot nosacījumu par pakāpenisku individuālo mācību kontu pieejas piemērošanu un integrāciju ar 2.3.1.4.i investīcijas platformu, ievērojot to ka kopš 2024.gada nogales jau darbojas 2.3.1.4.i investīcijas ietvaros izveidotā platforma un tā tiek piemērota/izmantota 4.2.4.2. pasākumā.  Attiecīgais regulējums nemaina nosacījumus par personas datu apstrādi, un pie MK noteikumu Nr.283 izstrādes jau tika veikts noteikumu projekta saskaņojums arī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nodrošina, ka Atveseļošanas un noturības mehānisma 2.3.1.4.i. investīcijas pasākuma ietvaros izstrādātā prasmju pārvaldības platforma un individuālo mācību kontu pieeja tiek turpināta pasākuma ietvaros un nodrošina individuālo mācību kontu lietošanu pasākumā iesaistītajiem nodarbinātajiem. Mērķa grupas personai, reģistrējoties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77. un 78. punktā noteiktie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21.1.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profesionālajām kvalifikācijām un prasmēm nozaru un profesiju griezumā un to nepieciešamo apjomu. Finansējuma saņēmējs, pamatojoties uz sagatavoto pieprasījumu, apkopo un iesniedz šo noteikumu 61.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punktu norādot, ka Ekonomikas ministrija sadarbībā ar nozaru pārstāvjiem sagatavo nozaru vajadzības. Darba devēji nevar nedefinēt profesionālo kvalifikāciju līmenī, kā arī noteikt apjomu. Apjoms tiek noteikts sagatavojot mācību piedāvājumu, kuru apstiprina Ekonomikas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21.1.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nozares vajadzībām. Finansējuma saņēmējs, pamatojoties uz sagatavoto pieprasījumu, apkopo un iesniedz šo noteikumu 61.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vērtējumā MK noteikumu  46. punkta redakcija saglabājama esošajā redakcijā, paredzot, ka Ekonomikas ministrija sagatavo nozaru vajadzības, sniedzot informāciju par nozarei nepieciešamajām profesionālajām kvalifikācijām un prasmēm nozaru un profesiju griezumā, kas ļauj finansējuma saņēmējam sagatavot projekta īstenošanai nepieciešamo informāciju par mācību piedāvājumu. Mācību piedāvājuma sagatavošanā ir būtiski zināt vai un kādi speciālisti ar profesionālo kvalifikāciju nozarei nepieciešami, kā arī kādas prasmes ir nepieciešamās katrā nozarē strādājošiem.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07.05.2024. sēdes protokola Nr. 19 5.punkts nosaka, ka Ekonomikas ministrijai jānodrošina 4.2.4.2. pasākuma īstenošanai  nepieciešamais mācību vajadzību pasūtījums nozaru attīstībai nepieciešamajām profesionālajām kvalifikācijām un prasmēm nozaru un profesiju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21.1.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profesionālajām kvalifikācijām un prasmēm nozaru un profesiju griezumā un to nepieciešamo apjomu. Finansējuma saņēmējs, pamatojoties uz sagatavoto pieprasījumu, apkopo un iesniedz šo noteikumu 61. punktā minētajai Ekonomikas ministrijas komisijai nozaru vajadzību pasūtījumam atbilstošu mācību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neesību saskaņā ar Eiropas Parlamenta un Padomes 2024. gada 23. septembra Regula (ES, Euratom) 2024/2509 par finanšu noteikumiem, ko piemēro Savienības vispārējam budžetam (pārstrādāta redakcija)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Nr. 283 56. punkta nepieciešamību, ņemot vērā gan konkrētā specifiskā atbalsta mērķa projekta veidu, gan arī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fondu atbalsta saņemšanu un vienlaikus kuros atbilstoši specifiskā atbalsta mērķim finansējuma saņēmējs atlases kārtībā Eiropas Savienības fondu dalībniekiem vai gala saņēmējiem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283 56.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neesību saskaņā ar Eiropas Parlamenta un Padomes 2024. gada 23. septembra Regula (ES, Euratom) 2024/2509 par finanšu noteikumiem, ko piemēro Savienības vispārējam budžetam (pārstrādāta redakcija) 61. panta prasībām,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neesību saskaņā ar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projekta 56. punktā precizēt regulas atsauci, norādot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56. punktā precizēta atsauce uz spēkā esošo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neesību saskaņā ar Eiropas Parlamenta un Padomes 2024. gada 23. septembra Regula (ES, Euratom) 2024/2509 par finanšu noteikumiem, ko piemēro Savienības vispārējam budžetam (pārstrādāta redakcija) 61. panta prasībām,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projekta īstenošanas rezultātu un rezultatīvo rādītāju sasniegšanas analīzi un novērtē to ietekmi uz nacionālajos un starptautiskajos dokumentos noteikto mērķu sasniegšanu.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punktu, ņemot vērā, ka Ekonomikas ministrijas izveidotā komisija nevar veikt analīzi, bet iepazīties ar sagatavoto analīzi un novērtēt rezultātu ietekmi pirms izskatīšanas Cilvēkkapitāla attīstības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61.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Komisijas sastāvu un nolikumu apstiprina ekonomikas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Apvienotās pieaugušo izglītības koordinācijas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projekta īstenošanas rezultātu un rezultatīvo rādītāju sasniegšanas analīzi un novērtē to ietekmi uz nacionālajos un starptautiskajos dokumentos noteikto mērķu sasniegšanu. Apvienotās pieaugušo izglītības koordinācijas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atbilstību Latvijas likumdošanai - Izglītības likumā un  Profesionālās izglītības likumā noteiktajai Izglītības un zinātnes ministrijas (IZM) kompetencei, kā arī atbilstību Eiropas Savienības politikai, kas saskaņā ar ES Padomes ieteikumu “Upskilling Pathways” (2016/C 484/01) aicina īstenot koordinētu pārvaldību mūžizglītības politikai, īpaši iesaistot izglītības iestādes, nodarbinātības dienestus un darba devējus; ES Digitālās kompetences attīstības pamatnostādnēm (Digital Education Action Plan 2021–2027), aicina stiprināt izglītības sistēmu kapacitāti pieaugušo digitālo prasmju attīstīšanai, kas ir IZM tiešā atbildībā (t.sk. "Individuālo mācību kontu" ieviešana Latvijā 2023–2027), kā arī OECD rekomendācijām OECD "Skills Strategy Latvia" (2019), kas norāda, ka Latvijas pieaugušo izglītības pārvaldībā ir nepieciešama labāka koordinācija, skaidrāka institucionālā atbildība un vienota sistēmiska pieeja, uzsverot, ka IZM būtu loģisks vadošais koordinators, jo tai ir instrumenti, dati, partnerības un normatīvā vara pār formālo un neformālo izglītību, tai skaitā profesionālās pilnveides procesiem. kā arī ievērojot OECD “Skills for Jobs” (2023) akcentēto norādi, ka izglītības ministrijām ir stratēģiska loma, lai sasaistītu mācību saturu ar darba tirgus vajadzībām, īpaši pieaugušo pārkvalifikācijas kontekstā, tādējādi pamatojot izglītības politikas pārvaldības loģiku un saskaņojot institucionālo atbildību ar starptautiskajām vadlīnijām par pieaugušo izglītības sistēmas koordināciju, Latvijas Universitāte izsaka priekšlikumu Apvienotās pieaugušo izglītības koordinācijas komisijas sastāvu un nolikumu apstiprināt izglītības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61.punkta pēdējo teikumu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 Apvienotās pieaugušo izglītības koordinācijas komisijas sastāvu un nolikumu apstiprina izglītības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mērķi mazināt fragmentāciju un veikt konsolidētu prasmju un pārkvalifikācijas IZM, LM un EM noteikšanas formātus, tika nolemts izveidot vienotu platformu lēmumu pieņemšanai par darba tirgū un mūžizglītībā nepieciešamo prasmju un pārkvalifikācijas jomām. Ievērojot valdības noteikto virzību uz pieaugušo izglītības pārvaldības formātu konsolidāciju, EM, IZM un LM vienojās par vienoto pieeju mācību piedāvājuma noteikšanai, minēto institūciju Atveseļošanas fonda un ES Fondu projektu īstenošanas noteikumos iekļaujot deleģējumu ekonomikas ministram izveidot attiecīgo komisiju. Attiecīgi 2023. gada 9. augustā Cilvēkkapitāla attīstības padome pieņēma lēmumu veidot vienotu komisiju EM atbildībā, kas noteiks LM, EM, IZM pieaugušo mācību piedāvājumu, un uzraudzīs īstenoto pasākumu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Komisijas sastāvu un nolikumu apstiprina ekonomikas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w:t>
            </w:r>
            <w:r w:rsidR="00000000" w:rsidRPr="00000000" w:rsidDel="00000000">
              <w:rPr>
                <w:rtl w:val="0"/>
              </w:rPr>
              <w:t xml:space="preserve">32.</w:t>
            </w:r>
            <w:r w:rsidR="00000000" w:rsidRPr="00000000" w:rsidDel="00000000">
              <w:rPr>
                <w:rtl w:val="0"/>
              </w:rPr>
              <w:t xml:space="preserve"> punktā minētais nosacījums par mērķa grupas personas iesnieguma iesniegšanu ārpus formālās izglītības sistēmas apgūtās profesionālās kompetences novērtēšanas izmaksu kompensēšanai ir attiecināms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 283 plānotā 62. punktā minēto par izmaksu kompensēšanas nosacījuma attiecināšanas termiņu. Proti, lūdzam izvērtēt, vai noteikumu Nr. 283 32. punktā minētais nosacījums par mērķa grupas personas iesnieguma iesniegšanu ārpus formālās izglītības sistēmas apgūtās profesionālās kompetences novērtēšanas izmaksu kompensēšanai viss kopumā ir attiecināms no 2025. gada 1. janvāra, vai tikai 32. punktā plānotie grozījumi par personas iesnieguma iesniegšanu sešu mēnešu laikā no ārpus formālās izglītības sistēmas apgūtās profesionālās kompetences novērtēšanas dienas. Vēršam uzmanību, ka no plānotās 62. punkta redakcijas izriet, ka noteikumu Nr. 283 32. punktā ietvertais nosacījums par izmaksu piešķiršanu, pamatojoties uz personas iesniegumu, viss kopumā ir attiecināms no 2025. gada 1. janvāra, t.i. var radīt interpretāciju, ka izmaksas, kas veiktas pirms šī datuma, ir kopumā neattiecināmas.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Precziēta MK noteikumu 62.punkta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w:t>
            </w:r>
            <w:r w:rsidR="00000000" w:rsidRPr="00000000" w:rsidDel="00000000">
              <w:rPr>
                <w:rtl w:val="0"/>
              </w:rPr>
              <w:t xml:space="preserve">32.</w:t>
            </w:r>
            <w:r w:rsidR="00000000" w:rsidRPr="00000000" w:rsidDel="00000000">
              <w:rPr>
                <w:rtl w:val="0"/>
              </w:rPr>
              <w:t xml:space="preserve"> punktā minētais nosacījums par mērķa grupas personas iesnieguma iesniegšanu sešu mēnešu laikā no ārpus formālās izglītības sistēmas apgūtās profesionālās kompetences novērtēšanas dienas ir attiecināms no 2025. gada 1. janvāra.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25-TA-788</w:t>
    </w:r>
    <w:r>
      <w:br/>
    </w:r>
    <w:r w:rsidR="00000000" w:rsidRPr="00000000" w:rsidDel="00000000">
      <w:rPr>
        <w:rtl w:val="0"/>
      </w:rPr>
      <w:t xml:space="preserve">31.07.2025. 18.03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25-TA-788</w:t>
    </w:r>
    <w:r>
      <w:br/>
    </w:r>
    <w:r w:rsidR="00000000" w:rsidRPr="00000000" w:rsidDel="00000000">
      <w:rPr>
        <w:rtl w:val="0"/>
      </w:rPr>
      <w:t xml:space="preserve">31.07.2025. 18.03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Izziņa_25-TA-788.docx</dc:title>
</cp:coreProperties>
</file>

<file path=docProps/custom.xml><?xml version="1.0" encoding="utf-8"?>
<Properties xmlns="http://schemas.openxmlformats.org/officeDocument/2006/custom-properties" xmlns:vt="http://schemas.openxmlformats.org/officeDocument/2006/docPropsVTypes"/>
</file>