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7DDCC" w14:textId="48CF9362" w:rsidR="00470F6D" w:rsidRDefault="00470F6D" w:rsidP="00470F6D">
      <w:pPr>
        <w:spacing w:before="240" w:after="240"/>
        <w:rPr>
          <w:b/>
          <w:sz w:val="28"/>
        </w:rPr>
      </w:pPr>
      <w:r>
        <w:rPr>
          <w:b/>
          <w:sz w:val="28"/>
        </w:rPr>
        <w:t>26-TA-74</w:t>
      </w:r>
      <w:r w:rsidR="00952A76">
        <w:rPr>
          <w:b/>
          <w:sz w:val="28"/>
        </w:rPr>
        <w:t>8</w:t>
      </w:r>
      <w:r>
        <w:rPr>
          <w:b/>
          <w:sz w:val="28"/>
        </w:rPr>
        <w:t>: Likumprojekts (Grozījumi)</w:t>
      </w:r>
    </w:p>
    <w:p w14:paraId="24B4BB18" w14:textId="3589F544" w:rsidR="00470F6D" w:rsidRDefault="00470F6D" w:rsidP="00470F6D">
      <w:pPr>
        <w:pStyle w:val="titleparagraph"/>
        <w:contextualSpacing w:val="0"/>
      </w:pPr>
      <w:r>
        <w:t xml:space="preserve">Grozījumi </w:t>
      </w:r>
      <w:r w:rsidR="00952A76">
        <w:t>Reklāmas</w:t>
      </w:r>
      <w:r>
        <w:t xml:space="preserve"> likumā</w:t>
      </w:r>
    </w:p>
    <w:p w14:paraId="0DE7E459" w14:textId="1C647133" w:rsidR="00293D94" w:rsidRPr="00293D94" w:rsidRDefault="00293D94" w:rsidP="00293D94">
      <w:r>
        <w:t>Iebildumi, kas iesniegti Finanšu ministrijai ārpus TAP</w:t>
      </w:r>
    </w:p>
    <w:tbl>
      <w:tblPr>
        <w:tblpPr w:leftFromText="180" w:rightFromText="180" w:vertAnchor="text" w:tblpX="-290" w:tblpY="1"/>
        <w:tblOverlap w:val="never"/>
        <w:tblW w:w="1485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10"/>
        <w:gridCol w:w="1842"/>
        <w:gridCol w:w="4536"/>
        <w:gridCol w:w="4820"/>
        <w:gridCol w:w="2949"/>
      </w:tblGrid>
      <w:tr w:rsidR="00470F6D" w14:paraId="2762B0A5" w14:textId="77777777" w:rsidTr="00952A76">
        <w:tc>
          <w:tcPr>
            <w:tcW w:w="710" w:type="dxa"/>
            <w:shd w:val="clear" w:color="auto" w:fill="FFFFFF"/>
            <w:noWrap/>
            <w:tcMar>
              <w:top w:w="75" w:type="dxa"/>
              <w:left w:w="75" w:type="dxa"/>
              <w:bottom w:w="75" w:type="dxa"/>
              <w:right w:w="75" w:type="dxa"/>
            </w:tcMar>
            <w:vAlign w:val="center"/>
          </w:tcPr>
          <w:p w14:paraId="447A5558" w14:textId="77777777" w:rsidR="00470F6D" w:rsidRDefault="00470F6D" w:rsidP="00952A76">
            <w:pPr>
              <w:jc w:val="center"/>
              <w:rPr>
                <w:b/>
              </w:rPr>
            </w:pPr>
            <w:r>
              <w:rPr>
                <w:b/>
              </w:rPr>
              <w:t>Nr.p.k.</w:t>
            </w:r>
          </w:p>
        </w:tc>
        <w:tc>
          <w:tcPr>
            <w:tcW w:w="1842" w:type="dxa"/>
            <w:shd w:val="clear" w:color="auto" w:fill="FFFFFF"/>
            <w:noWrap/>
            <w:tcMar>
              <w:top w:w="75" w:type="dxa"/>
              <w:left w:w="75" w:type="dxa"/>
              <w:bottom w:w="75" w:type="dxa"/>
              <w:right w:w="75" w:type="dxa"/>
            </w:tcMar>
            <w:vAlign w:val="center"/>
          </w:tcPr>
          <w:p w14:paraId="2428F1B4" w14:textId="77777777" w:rsidR="00470F6D" w:rsidRDefault="00470F6D" w:rsidP="00952A76">
            <w:pPr>
              <w:jc w:val="center"/>
              <w:rPr>
                <w:b/>
              </w:rPr>
            </w:pPr>
            <w:r>
              <w:rPr>
                <w:b/>
              </w:rPr>
              <w:t>Saskaņošanai nosūtītā projekta redakcija</w:t>
            </w:r>
          </w:p>
        </w:tc>
        <w:tc>
          <w:tcPr>
            <w:tcW w:w="4536" w:type="dxa"/>
            <w:shd w:val="clear" w:color="auto" w:fill="FFFFFF"/>
            <w:noWrap/>
            <w:tcMar>
              <w:top w:w="75" w:type="dxa"/>
              <w:left w:w="75" w:type="dxa"/>
              <w:bottom w:w="75" w:type="dxa"/>
              <w:right w:w="75" w:type="dxa"/>
            </w:tcMar>
            <w:vAlign w:val="center"/>
          </w:tcPr>
          <w:p w14:paraId="64175D37" w14:textId="77777777" w:rsidR="00470F6D" w:rsidRDefault="00470F6D" w:rsidP="00952A76">
            <w:pPr>
              <w:jc w:val="center"/>
              <w:rPr>
                <w:b/>
              </w:rPr>
            </w:pPr>
            <w:r>
              <w:rPr>
                <w:b/>
              </w:rPr>
              <w:t>Iebildums / Priekšlikums</w:t>
            </w:r>
          </w:p>
          <w:p w14:paraId="51CD4CF9" w14:textId="0C6225D5" w:rsidR="00762B06" w:rsidRDefault="00762B06" w:rsidP="00952A76">
            <w:pPr>
              <w:jc w:val="center"/>
              <w:rPr>
                <w:b/>
              </w:rPr>
            </w:pPr>
          </w:p>
        </w:tc>
        <w:tc>
          <w:tcPr>
            <w:tcW w:w="4820" w:type="dxa"/>
            <w:shd w:val="clear" w:color="auto" w:fill="FFFFFF"/>
            <w:noWrap/>
            <w:tcMar>
              <w:top w:w="75" w:type="dxa"/>
              <w:left w:w="75" w:type="dxa"/>
              <w:bottom w:w="75" w:type="dxa"/>
              <w:right w:w="75" w:type="dxa"/>
            </w:tcMar>
            <w:vAlign w:val="center"/>
          </w:tcPr>
          <w:p w14:paraId="4C0ECA57" w14:textId="77777777" w:rsidR="00470F6D" w:rsidRDefault="00470F6D" w:rsidP="00952A76">
            <w:pPr>
              <w:jc w:val="center"/>
              <w:rPr>
                <w:b/>
              </w:rPr>
            </w:pPr>
            <w:r>
              <w:rPr>
                <w:b/>
              </w:rPr>
              <w:t>Apstrādes informācija</w:t>
            </w:r>
          </w:p>
        </w:tc>
        <w:tc>
          <w:tcPr>
            <w:tcW w:w="2949" w:type="dxa"/>
            <w:shd w:val="clear" w:color="auto" w:fill="FFFFFF"/>
            <w:noWrap/>
            <w:tcMar>
              <w:top w:w="75" w:type="dxa"/>
              <w:left w:w="75" w:type="dxa"/>
              <w:bottom w:w="75" w:type="dxa"/>
              <w:right w:w="75" w:type="dxa"/>
            </w:tcMar>
            <w:vAlign w:val="center"/>
          </w:tcPr>
          <w:p w14:paraId="6E755C4C" w14:textId="77777777" w:rsidR="00470F6D" w:rsidRDefault="00470F6D" w:rsidP="00952A76">
            <w:pPr>
              <w:jc w:val="center"/>
              <w:rPr>
                <w:b/>
              </w:rPr>
            </w:pPr>
            <w:r>
              <w:rPr>
                <w:b/>
              </w:rPr>
              <w:t>Galīgā redakcija</w:t>
            </w:r>
          </w:p>
        </w:tc>
      </w:tr>
      <w:tr w:rsidR="00470F6D" w14:paraId="1F9D148B" w14:textId="77777777" w:rsidTr="00952A76">
        <w:tc>
          <w:tcPr>
            <w:tcW w:w="14857" w:type="dxa"/>
            <w:gridSpan w:val="5"/>
            <w:shd w:val="clear" w:color="auto" w:fill="FFFFFF"/>
            <w:noWrap/>
            <w:tcMar>
              <w:top w:w="75" w:type="dxa"/>
              <w:left w:w="75" w:type="dxa"/>
              <w:bottom w:w="75" w:type="dxa"/>
              <w:right w:w="75" w:type="dxa"/>
            </w:tcMar>
            <w:vAlign w:val="center"/>
          </w:tcPr>
          <w:p w14:paraId="101F661D" w14:textId="77777777" w:rsidR="00470F6D" w:rsidRDefault="00470F6D" w:rsidP="00952A76">
            <w:r>
              <w:rPr>
                <w:b/>
              </w:rPr>
              <w:t xml:space="preserve">Izsludināšana: </w:t>
            </w:r>
            <w:r w:rsidRPr="00952A76">
              <w:rPr>
                <w:b/>
                <w:color w:val="auto"/>
              </w:rPr>
              <w:t>02.04.2026. 14:30</w:t>
            </w:r>
          </w:p>
        </w:tc>
      </w:tr>
      <w:tr w:rsidR="00470F6D" w14:paraId="4CABF7B8" w14:textId="77777777" w:rsidTr="00952A76">
        <w:tc>
          <w:tcPr>
            <w:tcW w:w="710" w:type="dxa"/>
            <w:shd w:val="clear" w:color="auto" w:fill="FFFFFF"/>
            <w:noWrap/>
            <w:tcMar>
              <w:top w:w="75" w:type="dxa"/>
              <w:left w:w="75" w:type="dxa"/>
              <w:bottom w:w="75" w:type="dxa"/>
              <w:right w:w="75" w:type="dxa"/>
            </w:tcMar>
          </w:tcPr>
          <w:p w14:paraId="6829E033" w14:textId="77777777" w:rsidR="00470F6D" w:rsidRDefault="00470F6D" w:rsidP="00952A76">
            <w:r>
              <w:t>1.</w:t>
            </w:r>
          </w:p>
        </w:tc>
        <w:tc>
          <w:tcPr>
            <w:tcW w:w="1842" w:type="dxa"/>
            <w:shd w:val="clear" w:color="auto" w:fill="FFFFFF"/>
            <w:noWrap/>
            <w:tcMar>
              <w:top w:w="75" w:type="dxa"/>
              <w:left w:w="75" w:type="dxa"/>
              <w:bottom w:w="75" w:type="dxa"/>
              <w:right w:w="75" w:type="dxa"/>
            </w:tcMar>
          </w:tcPr>
          <w:p w14:paraId="298AFE36" w14:textId="77777777" w:rsidR="00470F6D" w:rsidRDefault="00470F6D" w:rsidP="00952A76">
            <w:pPr>
              <w:spacing w:after="240"/>
              <w:rPr>
                <w:b/>
              </w:rPr>
            </w:pPr>
            <w:r>
              <w:rPr>
                <w:b/>
              </w:rPr>
              <w:t>Likumprojekts (grozījumi)</w:t>
            </w:r>
          </w:p>
          <w:p w14:paraId="544736DB" w14:textId="35DF5E93" w:rsidR="00470F6D" w:rsidRDefault="00470F6D" w:rsidP="00952A76">
            <w:r>
              <w:t xml:space="preserve">Grozījumi </w:t>
            </w:r>
            <w:r w:rsidR="00952A76">
              <w:t>Reklāmas</w:t>
            </w:r>
            <w:r>
              <w:t xml:space="preserve"> likumā</w:t>
            </w:r>
          </w:p>
        </w:tc>
        <w:tc>
          <w:tcPr>
            <w:tcW w:w="4536" w:type="dxa"/>
            <w:shd w:val="clear" w:color="auto" w:fill="FFFFFF"/>
            <w:noWrap/>
            <w:tcMar>
              <w:top w:w="75" w:type="dxa"/>
              <w:left w:w="75" w:type="dxa"/>
              <w:bottom w:w="75" w:type="dxa"/>
              <w:right w:w="75" w:type="dxa"/>
            </w:tcMar>
          </w:tcPr>
          <w:p w14:paraId="307F34A4" w14:textId="77777777" w:rsidR="00952A76" w:rsidRPr="00952A76" w:rsidRDefault="00952A76" w:rsidP="00952A76">
            <w:pPr>
              <w:spacing w:after="240"/>
            </w:pPr>
            <w:r w:rsidRPr="00952A76">
              <w:t xml:space="preserve">SIA “Credit Solutions” (turpmāk – Sabiedrība) ir iepazinusies ar Finanšu ministrijas izstrādāto likumprojektu “Grozījumi Reklāmas likumā” (turpmāk – Likumprojekts) un nepiekrīt piedāvatajām izmaiņām, ar ko paredzēts nodot Latvijas Bankai Patērētāju tiesību aizsardzības centra (turpmāk – PTAC) funkcijas patērētāju kreditēšanas reklāmas uzraudzības jomā. </w:t>
            </w:r>
          </w:p>
          <w:p w14:paraId="1B133C37" w14:textId="77777777" w:rsidR="00952A76" w:rsidRPr="00952A76" w:rsidRDefault="00952A76" w:rsidP="00952A76">
            <w:pPr>
              <w:spacing w:after="240"/>
            </w:pPr>
            <w:r w:rsidRPr="00952A76">
              <w:t xml:space="preserve">Sabiedrība kopumā neatbalsta PTAC regulatīvo un uzraudzības funkciju pār nebanku kreditētājiem nodošanu Latvijas Bankai un attiecīgi iebilst pret Likumprojekta priekšlikumu. Sabiedrība uzskata, ka piedāvātā regulatora maiņa nav nepieciešama un var radīt arī pretēju efektu iecerētajam. Neraugoties uz reformu virzību, joprojām nav pietiekami skaidri pamatots, kādēļ šāda funkciju nodošana ir nepieciešama. Lai gan tiek norādīts, ka reformas mērķis ir samazināt </w:t>
            </w:r>
            <w:r w:rsidRPr="00952A76">
              <w:lastRenderedPageBreak/>
              <w:t xml:space="preserve">administratīvo slogu un nodrošināt caurspīdīgu un vienotu kreditētāju uzraudzības un kontroles pieeju, pastāv pamatots risks, ka praksē tā varētu būtiski sarežģīt normatīvo un uzņēmējdarbības vidi, vienlaikus nesniedzot skaidrojumu, kā minētie mērķi tiks sasniegti. Turklāt līdz šim nav sniegti pierādījumi, kas apliecinātu PTAC nespēju pienācīgi pildīt tam noteikto uzraudzības funkciju un tādējādi attaisnotu uzraudzības pilnvaru nodošanu citai institūcijai. Sabiedrība uzskata, ka jebkurai normatīvā regulējuma reformai ir jābūt balstītai konkrētu trūkumu identificēšanā un izmērāmos uzlabojumos, nevis institucionālās struktūras pašas par sevi pārveidē. </w:t>
            </w:r>
          </w:p>
          <w:p w14:paraId="4BF9CC24" w14:textId="77777777" w:rsidR="00952A76" w:rsidRPr="00952A76" w:rsidRDefault="00952A76" w:rsidP="00952A76">
            <w:pPr>
              <w:spacing w:after="240"/>
            </w:pPr>
            <w:r w:rsidRPr="00952A76">
              <w:t xml:space="preserve">Sabiedrība iebilst pret grozījumiem Reklāmas likumā, ar kuriem paredzēts nodot patērētāju kreditēšanas reklāmas uzraudzību Latvijas Bankai un attiecīgi izslēgt PTAC kompetenci šajā jomā. Šāda institucionāla reforma kopumā nav atbalstāma, jo tā nav balstīta identificētā problēmā, ir pretrunā līdzšinējai patērētāju tiesību aizsardzības sistēmas loģikai un rada būtiskus riskus reklāmas uzraudzības efektivitātei un tiesiskajai noteiktībai. </w:t>
            </w:r>
          </w:p>
          <w:p w14:paraId="491969D4" w14:textId="77777777" w:rsidR="00952A76" w:rsidRPr="00952A76" w:rsidRDefault="00952A76" w:rsidP="00952A76">
            <w:pPr>
              <w:spacing w:after="240"/>
            </w:pPr>
            <w:r w:rsidRPr="00952A76">
              <w:t xml:space="preserve">Finanšu ministrijas informatīvajā ziņojumā “Par vienotas patērētāju kreditētāju licencēšanas un uzraudzības institūcijas noteikšanu” ir skaidri noteikts, ka patērētāju tiesību un interešu aizsardzību Latvijā </w:t>
            </w:r>
            <w:r w:rsidRPr="00952A76">
              <w:lastRenderedPageBreak/>
              <w:t xml:space="preserve">nodrošina PTAC, uzraugot preču tirdzniecību un pakalpojumu sniegšanu, nodrošinot patērētājiem nepieciešamo informāciju un palīdzot risināt radušos konfliktus. Ziņojumā arī uzsvērts, ka PTAC kompetencē ietilpst atbildīgas aizdošanas principa ievērošanas uzraudzība un negodīgas komercprakses nepieļaušana, tostarp maldinošas reklāmas kontrole un patērētājiem nelabvēlīgu vai neskaidru līguma noteikumu novēršana. </w:t>
            </w:r>
          </w:p>
          <w:p w14:paraId="6EFDC14E" w14:textId="77777777" w:rsidR="00952A76" w:rsidRPr="00952A76" w:rsidRDefault="00952A76" w:rsidP="00952A76">
            <w:pPr>
              <w:spacing w:after="240"/>
            </w:pPr>
            <w:r w:rsidRPr="00952A76">
              <w:t xml:space="preserve">PTAC patērētāju kreditēšanas jomā īsteno integrētu, savstarpēji saistītu uzraudzības funkciju kopumu tostarp reklāmas, negodīgas komercprakses un netaisnīgu līguma noteikumu uzraudzību, kuru ietvaros piemēro sankcijas, izdod vadlīnijas un ieteikumus, kā arī apkopo un analizē nozares statistiku. Šī kompetence tiek īstenota nevis fragmentēti, bet kopsakarā, nodrošinot konsekventu un patērētājiem saprotamu aizsardzības sistēmu. </w:t>
            </w:r>
          </w:p>
          <w:p w14:paraId="17EDBEA1" w14:textId="77777777" w:rsidR="00952A76" w:rsidRPr="00952A76" w:rsidRDefault="00952A76" w:rsidP="00952A76">
            <w:pPr>
              <w:spacing w:after="240"/>
            </w:pPr>
            <w:r w:rsidRPr="00952A76">
              <w:t xml:space="preserve">Reklāmas uzraudzība pēc savas būtības nav tikai finanšu pakalpojumu atbilstības jautājums. Tā ir horizontāla patērētāju tiesību aizsardzības funkcija, kas cieši saistīta ar negodīgas komercprakses novēršanu, patērētāju uztveri, informācijas saprotamību un tirgus prakses ietekmi uz patērētāju rīcību. Tieši šāda horizontāla pieeja līdz šim ir raksturojusi PTAC darbu reklāmas uzraudzības jomā, tostarp patērētāju kreditēšanas jomā. Reklāmas uzraudzības nodalīšana no PTAC un nodošana Latvijas </w:t>
            </w:r>
            <w:r w:rsidRPr="00952A76">
              <w:lastRenderedPageBreak/>
              <w:t xml:space="preserve">Bankai mākslīgi sadrumstalo patērētāju tiesību aizsardzības sistēmu un rada risku, ka reklāmas jautājumi tiks vērtēti pārsvarā no šauri finanšu regulējuma perspektīvas, nevis no patērētāju interešu viedokļa. </w:t>
            </w:r>
          </w:p>
          <w:p w14:paraId="16B6F28B" w14:textId="77777777" w:rsidR="00952A76" w:rsidRPr="00952A76" w:rsidRDefault="00952A76" w:rsidP="00952A76">
            <w:pPr>
              <w:spacing w:after="240"/>
            </w:pPr>
            <w:r w:rsidRPr="00952A76">
              <w:t xml:space="preserve">Turklāt Latvijas Bankas uzraudzības funkciju loks jau šobrīd ir ārkārtīgi plašs, aptverot prudenciālo uzraudzību, noziedzīgi iegūtu līdzekļu legalizācijas novēršanas un sankciju kontroli, makrouzraudzību un būtisku Eiropas Savienības regulējumu ieviešanu. Reklāmas uzraudzība, kas pēc savas būtības ir operatīva, ikdienas un preventīva funkcija, šādā institucionālā ietvarā objektīvi riskē kļūt par sekundāru prioritāti, kas var vājināt patērētāju aizsardzības efektivitāti praksē. </w:t>
            </w:r>
          </w:p>
          <w:p w14:paraId="03837FFD" w14:textId="77777777" w:rsidR="00952A76" w:rsidRPr="00952A76" w:rsidRDefault="00952A76" w:rsidP="00952A76">
            <w:pPr>
              <w:spacing w:after="240"/>
            </w:pPr>
            <w:r w:rsidRPr="00952A76">
              <w:t xml:space="preserve">Vienlaikus jāņem vērā, ka šobrīd ir aktīvas diskusijas par patērētāju kreditēšanas reklāmas tiesiskā regulējuma izmaiņām. Patērētāju tiesību aizsardzības likumā joprojām ir spēkā 2018. gadā pieņemtie ierobežojumi patērētāju kreditēšanas reklāmai, tomēr Saeima vēl nav izskatījusi trešajā lasījumā likumprojektu “Grozījumi Patērētāju tiesību aizsardzības likumā” Nr. 24-TA-1291, ar kuru paredzēts atcelt vispārējo reklāmas aizliegumu un aizstāt to ar detalizētām reklāmas prasībām. Šis likumprojekts saistīts arī ar jaunās Kreditēšanas direktīvas prasību pārņemšanu, kas paredz papildu pienākumus reklāmas saturam, aizliegumus radīt nepamatotas </w:t>
            </w:r>
            <w:r w:rsidRPr="00952A76">
              <w:lastRenderedPageBreak/>
              <w:t xml:space="preserve">cerības, kā arī obligātu brīdinājuma iekļaušanu reklāmās no 2026. gada 20. novembra. </w:t>
            </w:r>
          </w:p>
          <w:p w14:paraId="66D1B6F1" w14:textId="77777777" w:rsidR="00952A76" w:rsidRPr="00952A76" w:rsidRDefault="00952A76" w:rsidP="00952A76">
            <w:pPr>
              <w:spacing w:after="240"/>
            </w:pPr>
            <w:r w:rsidRPr="00952A76">
              <w:t xml:space="preserve">Tādējādi reklāmas uzraudzības institucionāla pārcelšana tiek virzīta laikā, kad pats patērētāju kreditēšanas reklāmas regulējums vēl atrodas politisku diskusiju procesā. Šādos apstākļos funkciju pārdale starp uzraudzības iestādēm palielina tiesiskās </w:t>
            </w:r>
          </w:p>
          <w:p w14:paraId="166437EF" w14:textId="77777777" w:rsidR="00952A76" w:rsidRPr="00952A76" w:rsidRDefault="00952A76" w:rsidP="00952A76">
            <w:pPr>
              <w:spacing w:after="240"/>
            </w:pPr>
            <w:r w:rsidRPr="00952A76">
              <w:t xml:space="preserve">nenoteiktības risku, apgrūtina konsekventas uzraudzības prakses izveidi un var radīt situāciju, kurā uzraudzība tiek īstenota fragmentēti. </w:t>
            </w:r>
          </w:p>
          <w:p w14:paraId="1DC29362" w14:textId="77777777" w:rsidR="00952A76" w:rsidRPr="00952A76" w:rsidRDefault="00952A76" w:rsidP="00952A76">
            <w:pPr>
              <w:spacing w:after="240"/>
            </w:pPr>
            <w:r w:rsidRPr="00952A76">
              <w:t xml:space="preserve">Lai arī Finanšu ministrijas ziņojumā minēts, ka citās valstīs patērētāju tiesību aizsardzību finanšu sektorā īsteno finanšu uzraudzības iestādes, šāds salīdzinājums pats par sevi nav pietiekams pamatojums reklāmas uzraudzības pārcelšanai Latvijā. Ziņojumā nav veikta detalizēta šo valstu reklāmas uzraudzības modeļu analīze reklāmas vispārējā tiesiskā regulējuma kontekstā, nav izvērtēta institucionālā vēsturiskā attīstība un nav analizēta ietekme uz reklāmas tiesību horizontālo piemērošanu. </w:t>
            </w:r>
          </w:p>
          <w:p w14:paraId="4C9CDBFC" w14:textId="77777777" w:rsidR="00952A76" w:rsidRPr="00952A76" w:rsidRDefault="00952A76" w:rsidP="00952A76">
            <w:pPr>
              <w:spacing w:after="240"/>
            </w:pPr>
            <w:r w:rsidRPr="00952A76">
              <w:t xml:space="preserve">Ņemot vērā Finanšu ministrijas ziņojumā detalizēti aprakstīto PTAC kompetences apjomu, uzdevumus un izmantotos instrumentus, secināms, ka PTAC īstenotā reklāmas uzraudzība patērētāju kreditēšanas </w:t>
            </w:r>
            <w:r w:rsidRPr="00952A76">
              <w:lastRenderedPageBreak/>
              <w:t xml:space="preserve">jomā ir funkcionāli integrēta, efektīva un balstīta uz ilgstošu institucionālu pieredzi. </w:t>
            </w:r>
          </w:p>
          <w:p w14:paraId="38B03408" w14:textId="77777777" w:rsidR="00952A76" w:rsidRPr="00952A76" w:rsidRDefault="00952A76" w:rsidP="00952A76">
            <w:pPr>
              <w:spacing w:after="240"/>
            </w:pPr>
            <w:r w:rsidRPr="00952A76">
              <w:t xml:space="preserve">Būtiski, ka Likumprojekta anotācijā nav identificēti uzraudzības kvalitātes trūkumi, kas pamatotu nepieciešamību izslēgt reklāmas uzraudzību no PTAC kompetences, kā arī nav sniegts samērīgas nepieciešamības pamatojums tik būtiskai reklāmas regulējuma un uzraudzības sistēmas pārveidei. </w:t>
            </w:r>
          </w:p>
          <w:p w14:paraId="5CE7849F" w14:textId="5AC8D672" w:rsidR="00470F6D" w:rsidRDefault="00952A76" w:rsidP="00952A76">
            <w:r w:rsidRPr="00952A76">
              <w:t>Ņemot vērā iepriekš minēto, secināms, ka grozījumi Reklāmas likumā, ar kuriem paredzēts nodot patērētāju kreditēšanas reklāmas uzraudzību Latvijas Bankai, nav pamatoti un nav atbalstāmi. Šāda reforma rada riskus patērētāju tiesību aizsardzības kvalitātei, vājinot reklāmas regulējuma vienotību un horizontālo raksturu, un ignorē PTAC uzkrāto kompetenci un pieredzi šajā jomā.</w:t>
            </w:r>
          </w:p>
        </w:tc>
        <w:tc>
          <w:tcPr>
            <w:tcW w:w="4820" w:type="dxa"/>
            <w:shd w:val="clear" w:color="auto" w:fill="FFFFFF"/>
            <w:noWrap/>
            <w:tcMar>
              <w:top w:w="75" w:type="dxa"/>
              <w:left w:w="75" w:type="dxa"/>
              <w:bottom w:w="75" w:type="dxa"/>
              <w:right w:w="75" w:type="dxa"/>
            </w:tcMar>
          </w:tcPr>
          <w:p w14:paraId="46A4E480" w14:textId="77777777" w:rsidR="00222538" w:rsidRDefault="00222538" w:rsidP="00222538">
            <w:pPr>
              <w:rPr>
                <w:b/>
                <w:bCs/>
              </w:rPr>
            </w:pPr>
            <w:r w:rsidRPr="00D771D4">
              <w:rPr>
                <w:b/>
                <w:bCs/>
              </w:rPr>
              <w:lastRenderedPageBreak/>
              <w:t>Nav ņemts vērā</w:t>
            </w:r>
          </w:p>
          <w:p w14:paraId="3EDED5E5" w14:textId="77777777" w:rsidR="00222538" w:rsidRDefault="00222538" w:rsidP="00222538">
            <w:pPr>
              <w:jc w:val="center"/>
              <w:rPr>
                <w:b/>
                <w:bCs/>
              </w:rPr>
            </w:pPr>
          </w:p>
          <w:p w14:paraId="05C09267" w14:textId="77777777" w:rsidR="00222538" w:rsidRDefault="00222538" w:rsidP="00222538">
            <w:pPr>
              <w:rPr>
                <w:b/>
                <w:bCs/>
              </w:rPr>
            </w:pPr>
            <w:r w:rsidRPr="001A0482">
              <w:rPr>
                <w:b/>
                <w:bCs/>
              </w:rPr>
              <w:t xml:space="preserve">I </w:t>
            </w:r>
            <w:r>
              <w:rPr>
                <w:b/>
                <w:bCs/>
              </w:rPr>
              <w:t>P</w:t>
            </w:r>
            <w:r w:rsidRPr="001A0482">
              <w:rPr>
                <w:b/>
                <w:bCs/>
              </w:rPr>
              <w:t>ar reformas pamato</w:t>
            </w:r>
            <w:r>
              <w:rPr>
                <w:b/>
                <w:bCs/>
              </w:rPr>
              <w:t>tību</w:t>
            </w:r>
          </w:p>
          <w:p w14:paraId="47BD3596" w14:textId="77777777" w:rsidR="00222538" w:rsidRPr="00F15CC9" w:rsidRDefault="00222538" w:rsidP="00222538">
            <w:pPr>
              <w:rPr>
                <w:b/>
                <w:bCs/>
              </w:rPr>
            </w:pPr>
          </w:p>
          <w:p w14:paraId="40BD8FDD" w14:textId="77777777" w:rsidR="00222538" w:rsidRDefault="00222538" w:rsidP="00222538">
            <w:r>
              <w:t>Skaidrojam, ka a</w:t>
            </w:r>
            <w:r w:rsidRPr="00E4498E">
              <w:t>r likumprojekt</w:t>
            </w:r>
            <w:r>
              <w:t>u pakotnē</w:t>
            </w:r>
            <w:r w:rsidRPr="00E4498E">
              <w:t xml:space="preserve"> ietvertajiem</w:t>
            </w:r>
            <w:r>
              <w:t xml:space="preserve"> 13 likumu</w:t>
            </w:r>
            <w:r w:rsidRPr="00E4498E">
              <w:t xml:space="preserve"> grozījumiem</w:t>
            </w:r>
            <w:r>
              <w:t>, tajā skaitā likumprojektu,</w:t>
            </w:r>
            <w:r w:rsidRPr="00E4498E">
              <w:t xml:space="preserve">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p w14:paraId="4344D8FE" w14:textId="77777777" w:rsidR="00222538" w:rsidRDefault="00222538" w:rsidP="00222538"/>
          <w:p w14:paraId="43455B98" w14:textId="77777777" w:rsidR="00222538" w:rsidRDefault="00222538" w:rsidP="00222538">
            <w:r>
              <w:t xml:space="preserve">Diskurss par patērētāju kreditēšanas uzraudzības sistēmas reformu jau pirms likumprojektu </w:t>
            </w:r>
            <w:r>
              <w:lastRenderedPageBreak/>
              <w:t xml:space="preserve">pakotnes izstrādes ir bijis ilgs un pietiekami izdiskutēts gan valsts institūciju, gan nozares nevalstiskā sektora ietvarā. </w:t>
            </w:r>
          </w:p>
          <w:p w14:paraId="56D7AF75" w14:textId="77777777" w:rsidR="00222538" w:rsidRPr="00D61B3D" w:rsidRDefault="00222538" w:rsidP="00222538">
            <w:r>
              <w:t xml:space="preserve">Diskusijas par </w:t>
            </w:r>
            <w:r w:rsidRPr="00F31FD1">
              <w:t>patērētāju kreditēšanas uzraudzības un licencēšanas, kā arī patērētāju tiesību un interešu aizsardzīb</w:t>
            </w:r>
            <w:r>
              <w:t>as</w:t>
            </w:r>
            <w:r w:rsidRPr="00F31FD1">
              <w:t xml:space="preserve"> finanšu sektorā nodošanu vienai institūcijai</w:t>
            </w:r>
            <w:r>
              <w:t xml:space="preserve"> </w:t>
            </w:r>
            <w:r w:rsidRPr="00F31FD1">
              <w:t>tika uzsākta</w:t>
            </w:r>
            <w:r>
              <w:t>s</w:t>
            </w:r>
            <w:r w:rsidRPr="00F31FD1">
              <w:t xml:space="preserve"> jau 2025. gada</w:t>
            </w:r>
            <w:r>
              <w:t xml:space="preserve"> </w:t>
            </w:r>
            <w:r w:rsidRPr="00F31FD1">
              <w:t xml:space="preserve">sākumā Ekonomikas ministrijas sagatavotā </w:t>
            </w:r>
            <w:r>
              <w:t>r</w:t>
            </w:r>
            <w:r w:rsidRPr="00F31FD1">
              <w:t xml:space="preserve">īcības plāna projekta ietvaros. Ar Ministru kabineta </w:t>
            </w:r>
            <w:r>
              <w:t xml:space="preserve">15.07.2025. </w:t>
            </w:r>
            <w:r w:rsidRPr="00F31FD1">
              <w:t xml:space="preserve"> rīkojumu Nr.422 “Rīcības plāns investīciju piesaistei un finanšu pieejamībai tautsaimniecībā” (prot. Nr. 28 50. §) tika apstiprināts Rīcības plāns, kura 14. virzienā Ekonomikas ministrija identificēj</w:t>
            </w:r>
            <w:r>
              <w:t>a</w:t>
            </w:r>
            <w:r w:rsidRPr="00F31FD1">
              <w:t xml:space="preserve"> kreditēšanas pakalpojumu sniedzēju sadrumstalotas uzraudzības problemātiku un attiecīgi uzdev</w:t>
            </w:r>
            <w:r>
              <w:t>a</w:t>
            </w:r>
            <w:r w:rsidRPr="00F31FD1">
              <w:t xml:space="preserve"> Finanšu ministrijai izstrādāt informatīvā ziņojum</w:t>
            </w:r>
            <w:r>
              <w:t xml:space="preserve">u ar </w:t>
            </w:r>
            <w:r w:rsidRPr="00D61B3D">
              <w:t xml:space="preserve">izvērtējumu par vienotas kreditētāju uzraudzības un kontroles institūcijas noteikšanu, tādējādi samazinot birokrātisko slogu un nodrošinot caurskatāmu vienotu pieeju kreditētāju uzraudzībā un kontrolē. Vienlaikus </w:t>
            </w:r>
            <w:r>
              <w:t>tika noteikta</w:t>
            </w:r>
            <w:r w:rsidRPr="00D61B3D">
              <w:t xml:space="preserve"> nepieciešamību izvērtēt arī Lietuvas pieredzi, kur visu kreditētāju, kuru uzraudzību neveic Eiropas Centrālā banka, uzraudzība ir nodota Lietuvas Bankai.</w:t>
            </w:r>
          </w:p>
          <w:p w14:paraId="2B730228" w14:textId="77777777" w:rsidR="00222538" w:rsidRDefault="00222538" w:rsidP="00222538">
            <w:r w:rsidRPr="0056712A">
              <w:t>Finanšu ministrija</w:t>
            </w:r>
            <w:r>
              <w:t xml:space="preserve"> izstrādāja</w:t>
            </w:r>
            <w:r w:rsidRPr="0056712A">
              <w:t xml:space="preserve"> informatīv</w:t>
            </w:r>
            <w:r>
              <w:t>o</w:t>
            </w:r>
            <w:r w:rsidRPr="0056712A">
              <w:t xml:space="preserve"> ziņojum</w:t>
            </w:r>
            <w:r>
              <w:t xml:space="preserve">u </w:t>
            </w:r>
            <w:r w:rsidRPr="0056712A">
              <w:t>“Par vienotas patērētāju kreditētāju licencēšanas un uzraudzības institūcijas noteikšanu”</w:t>
            </w:r>
            <w:r>
              <w:t xml:space="preserve"> </w:t>
            </w:r>
            <w:r w:rsidRPr="00D53237">
              <w:t xml:space="preserve">(25-TA-3014) </w:t>
            </w:r>
            <w:r>
              <w:t xml:space="preserve">(turpmāk – Informatīvais ziņojums), kura izstrādes laikā, kā arī oficiālajā sabiedriskās apspriešanas procesā tika uzklausītas praktiski visas nozares  </w:t>
            </w:r>
            <w:r>
              <w:lastRenderedPageBreak/>
              <w:t xml:space="preserve">asociācijas, kā arī individuāli patērētāju kreditētāji, un tā apspriešanai tika organizēta sanāksme. </w:t>
            </w:r>
            <w:r w:rsidRPr="00D53237">
              <w:t>TAP pieejami atzinumi un izziņa par sniegtajiem iebildumiem un priekšlikumiem  pie minētā informatīvā ziņojuma.</w:t>
            </w:r>
          </w:p>
          <w:p w14:paraId="76268C86" w14:textId="77777777" w:rsidR="00222538" w:rsidRDefault="00222538" w:rsidP="00222538">
            <w:r>
              <w:t>Informatīvā ziņojuma projekts tika arī izskatīts un atbalstīts Finanšu sektora attīstības padomes (</w:t>
            </w:r>
            <w:r w:rsidRPr="00430A8D">
              <w:t xml:space="preserve">turpmāk – </w:t>
            </w:r>
            <w:r>
              <w:t>FSAP) 09.12.2025. sēdē, tajā skaitā, piedaloties finanšu nozares asociācijām.</w:t>
            </w:r>
          </w:p>
          <w:p w14:paraId="3FE9E245" w14:textId="77777777" w:rsidR="00222538" w:rsidRDefault="00222538" w:rsidP="00222538"/>
          <w:p w14:paraId="0A9A58FF" w14:textId="77777777" w:rsidR="00222538" w:rsidRDefault="00222538" w:rsidP="00222538">
            <w:r>
              <w:t>Ar I</w:t>
            </w:r>
            <w:r w:rsidRPr="00E3061F">
              <w:t>nformatīv</w:t>
            </w:r>
            <w:r>
              <w:t>o</w:t>
            </w:r>
            <w:r w:rsidRPr="00E3061F">
              <w:t xml:space="preserve"> ziņojum</w:t>
            </w:r>
            <w:r>
              <w:t>u</w:t>
            </w:r>
            <w:r w:rsidRPr="00E3061F">
              <w:t xml:space="preserve"> </w:t>
            </w:r>
            <w:r>
              <w:t xml:space="preserve">tika </w:t>
            </w:r>
            <w:r w:rsidRPr="00E3061F">
              <w:t>izvērtēta Latvijā esošā patērētāju tiesību aizsardzības sistēma, kompetenču sadalījums starp finanšu sektoru uzraugošajām iestādēm un piedāvāti risinājumi turpmākai patērētāju kreditēšanas nozares uzraudzības sistēmas attīstībai, kā arī izvērtēti citu valstu uzraudzības modeļi, tostarp Lietuv</w:t>
            </w:r>
            <w:r>
              <w:t>as modelis.</w:t>
            </w:r>
          </w:p>
          <w:p w14:paraId="5E54DFA3" w14:textId="77777777" w:rsidR="00222538" w:rsidRDefault="00222538" w:rsidP="00222538">
            <w:r>
              <w:t xml:space="preserve">Tāpat minams, ka FSAP </w:t>
            </w:r>
            <w:r w:rsidRPr="00354F2F">
              <w:t>09.12.2025</w:t>
            </w:r>
            <w:r>
              <w:t xml:space="preserve">. sēdē arī tika iekļauts un izskatīts jautājums par vienotas nebanku kreditētāju uzraudzības un kontroles institūcijas noteikšanu. Šajā FSAP sēdē lēmuma pieņemšanai tika piedāvāti divi iespējamie risinājuma varianti: 1.variants – ar normatīvā regulējuma palīdzību skaidrāk noteikt praktiskās uzraudzības jomas robežas starp Patērētāju tiesību centru (turpmāk – PTAC) un Valsts ieņēmumu dienestu uzraudzībā esošajiem subjektiem; 2.variants – patērētāju kreditēšanas pakalpojumu sniedzēju licencēšanas un uzraudzības funkcijas, patērētāju – finanšu pakalpojumu saņēmēju – tiesību un interešu aizsardzības funkcijas un negodīgas </w:t>
            </w:r>
            <w:r>
              <w:lastRenderedPageBreak/>
              <w:t>komercprakses uzraudzības finanšu pakalpojumu jomā funkcijas nodošanu no PTAC Latvijas Bankai. FSAP sēdē tika nolemts virzīt tālāk piedāvāto 2. variantu.</w:t>
            </w:r>
          </w:p>
          <w:p w14:paraId="79146879" w14:textId="77777777" w:rsidR="00222538" w:rsidRDefault="00222538" w:rsidP="00222538"/>
          <w:p w14:paraId="1EF8D841" w14:textId="77777777" w:rsidR="00222538" w:rsidRPr="009B33BB" w:rsidRDefault="00222538" w:rsidP="00222538">
            <w:r>
              <w:t>Vienlaikus atzīmējams, l</w:t>
            </w:r>
            <w:r w:rsidRPr="009B33BB">
              <w:t xml:space="preserve">ai nodrošinātu to, ka </w:t>
            </w:r>
            <w:r>
              <w:t xml:space="preserve">patērētāju </w:t>
            </w:r>
            <w:r w:rsidRPr="009B33BB">
              <w:t xml:space="preserve">kreditēšanas pakalpojumu sniedzējiem ir saprotams </w:t>
            </w:r>
            <w:r>
              <w:t>plānotais</w:t>
            </w:r>
            <w:r w:rsidRPr="009B33BB">
              <w:t xml:space="preserve"> Latvijas Bankas uzraudzības ietvars, </w:t>
            </w:r>
            <w:r>
              <w:t>Latvijas Banka</w:t>
            </w:r>
            <w:r w:rsidRPr="009B33BB">
              <w:t xml:space="preserve"> sadarbībā ar biedrības "Asociācija Fintech Latvija" biedriem uzsāk</w:t>
            </w:r>
            <w:r>
              <w:t>a</w:t>
            </w:r>
            <w:r w:rsidRPr="009B33BB">
              <w:t xml:space="preserve"> vairāku tematisko virzienu sarunu ciklu, kura ietvaros </w:t>
            </w:r>
            <w:r>
              <w:t>tika izskatīti</w:t>
            </w:r>
            <w:r w:rsidRPr="009B33BB">
              <w:t xml:space="preserve"> galvenie uzraudzības aspekti un izrunāti neskaidrie jautājumi, izveidojot piecas tematiskās sarunu grupas:</w:t>
            </w:r>
          </w:p>
          <w:p w14:paraId="4B8CF77A" w14:textId="77777777" w:rsidR="00222538" w:rsidRPr="009B33BB" w:rsidRDefault="00222538" w:rsidP="00222538">
            <w:pPr>
              <w:ind w:firstLine="720"/>
            </w:pPr>
            <w:r w:rsidRPr="009B33BB">
              <w:t xml:space="preserve">1) </w:t>
            </w:r>
            <w:r>
              <w:rPr>
                <w:rFonts w:eastAsia="Calibri"/>
              </w:rPr>
              <w:t>n</w:t>
            </w:r>
            <w:r w:rsidRPr="004B0E78">
              <w:rPr>
                <w:rFonts w:eastAsia="Calibri"/>
              </w:rPr>
              <w:t>oziedzīgi iegūtu līdzekļu legalizācijas un terorisma un proliferācijas finansēšanas novēršan</w:t>
            </w:r>
            <w:r>
              <w:rPr>
                <w:rFonts w:eastAsia="Calibri"/>
              </w:rPr>
              <w:t xml:space="preserve">as (turpmāk – </w:t>
            </w:r>
            <w:r w:rsidRPr="009B33BB">
              <w:t>NILLTPFN</w:t>
            </w:r>
            <w:r>
              <w:t>)</w:t>
            </w:r>
            <w:r w:rsidRPr="009B33BB" w:rsidDel="0008057C">
              <w:t xml:space="preserve"> </w:t>
            </w:r>
            <w:r w:rsidRPr="009B33BB">
              <w:t>jautājumi;</w:t>
            </w:r>
          </w:p>
          <w:p w14:paraId="79FED032" w14:textId="77777777" w:rsidR="00222538" w:rsidRPr="009B33BB" w:rsidRDefault="00222538" w:rsidP="00222538">
            <w:pPr>
              <w:ind w:firstLine="720"/>
            </w:pPr>
            <w:r w:rsidRPr="009B33BB">
              <w:t>2) kredītrisku/kredītspējas vērtēšana;</w:t>
            </w:r>
          </w:p>
          <w:p w14:paraId="3F85F5F1" w14:textId="77777777" w:rsidR="00222538" w:rsidRPr="009B33BB" w:rsidRDefault="00222538" w:rsidP="00222538">
            <w:pPr>
              <w:ind w:firstLine="720"/>
            </w:pPr>
            <w:r w:rsidRPr="009B33BB">
              <w:t>3) pirmslīguma informācija un līguma saturs;</w:t>
            </w:r>
          </w:p>
          <w:p w14:paraId="1138E80F" w14:textId="77777777" w:rsidR="00222538" w:rsidRDefault="00222538" w:rsidP="00222538">
            <w:pPr>
              <w:ind w:firstLine="720"/>
            </w:pPr>
            <w:r w:rsidRPr="009B33BB">
              <w:t xml:space="preserve">4) reklāmas ierobežojumi, aizdevumu administrēšana un kvalitātes pārraudzība; </w:t>
            </w:r>
            <w:r w:rsidRPr="009B33BB">
              <w:tab/>
            </w:r>
          </w:p>
          <w:p w14:paraId="4F2B4231" w14:textId="77777777" w:rsidR="00222538" w:rsidRDefault="00222538" w:rsidP="00222538">
            <w:pPr>
              <w:ind w:firstLine="720"/>
            </w:pPr>
            <w:r w:rsidRPr="009B33BB">
              <w:t xml:space="preserve">5) pārvaldības jautājumi. </w:t>
            </w:r>
          </w:p>
          <w:p w14:paraId="49973B3A" w14:textId="77777777" w:rsidR="00222538" w:rsidRDefault="00222538" w:rsidP="00222538">
            <w:r w:rsidRPr="00234FF2">
              <w:t xml:space="preserve">Darba grupu ietvaros, izskatot Latvijas Bankas uzraudzības pieeju katrā attiecīgajā tematiskajā jautājumā, notika diskusijas un ir panāktas vienošanās un kopējas izpratnes par pārvaldības sistēmu, </w:t>
            </w:r>
            <w:r w:rsidRPr="18B3CC22">
              <w:rPr>
                <w:rFonts w:eastAsia="Calibri"/>
              </w:rPr>
              <w:t>NILLTPFN</w:t>
            </w:r>
            <w:r w:rsidRPr="00234FF2">
              <w:t xml:space="preserve"> jautājumiem, kredītrisku un kredītspējas novērtēšanas atsevišķiem aspektiem, vienlaikus tiks turpinātas diskusijas par kredītspējas vērtēšanas pieejas pilnveides iespējām un salīdzinājumu ar Lietuvā izmantot modeli, atsevišķiem tehniskiem </w:t>
            </w:r>
            <w:r w:rsidRPr="18B3CC22">
              <w:rPr>
                <w:rFonts w:eastAsia="Calibri"/>
              </w:rPr>
              <w:t>NILLTPFN</w:t>
            </w:r>
            <w:r w:rsidRPr="00234FF2">
              <w:t xml:space="preserve"> </w:t>
            </w:r>
            <w:r>
              <w:lastRenderedPageBreak/>
              <w:t xml:space="preserve">jomas </w:t>
            </w:r>
            <w:r w:rsidRPr="00234FF2">
              <w:t xml:space="preserve">uzraudzības aspektiem, </w:t>
            </w:r>
            <w:r>
              <w:t>K</w:t>
            </w:r>
            <w:r w:rsidRPr="00234FF2">
              <w:t>redīt</w:t>
            </w:r>
            <w:r>
              <w:t xml:space="preserve">u </w:t>
            </w:r>
            <w:r w:rsidRPr="00234FF2">
              <w:t xml:space="preserve">reģistram  </w:t>
            </w:r>
            <w:r w:rsidRPr="396E4632">
              <w:t>sniedzamās</w:t>
            </w:r>
            <w:r w:rsidRPr="1EFEED41">
              <w:t xml:space="preserve"> </w:t>
            </w:r>
            <w:r w:rsidRPr="00234FF2">
              <w:t>informācij</w:t>
            </w:r>
            <w:r w:rsidRPr="3D1CF749">
              <w:t xml:space="preserve">as </w:t>
            </w:r>
            <w:r w:rsidRPr="614832AF">
              <w:t>apjomu</w:t>
            </w:r>
            <w:r w:rsidRPr="00234FF2">
              <w:t>, iesniedzamo uzraudzības pārskatu</w:t>
            </w:r>
            <w:r>
              <w:t xml:space="preserve"> u.c. jautājumiem.</w:t>
            </w:r>
            <w:r w:rsidRPr="00234FF2">
              <w:t xml:space="preserve"> </w:t>
            </w:r>
            <w:r w:rsidRPr="009D0164">
              <w:t>Latvijas Banka ir izveidojusi informācijas apmaiņas kanālu regulārai saziņai ar nozari, kurā tai skaitā tiek nodrošināta atbilžu publicēšana uz nozares neskaidriem jautājumiem.</w:t>
            </w:r>
            <w:r>
              <w:t xml:space="preserve"> Latvijas Banka turpina saziņa ar patērētāju kreditētājiem. </w:t>
            </w:r>
          </w:p>
          <w:p w14:paraId="49C7E95A" w14:textId="77777777" w:rsidR="00222538" w:rsidRDefault="00222538" w:rsidP="00222538"/>
          <w:p w14:paraId="154FEDE6" w14:textId="77777777" w:rsidR="00222538" w:rsidRDefault="00222538" w:rsidP="00222538">
            <w:r>
              <w:t>Vienlaikus uzsverams, ka jautājums par to, kura no valsts institūcijām pildīs kādu no savām funkcijām, vai no tām izrietošos uzdevumus, ir pašas valsts prerogatīva, proti, noteikt, kura no institūcijām turpmāk pildīs vienotas patērētāju kreditētāju licencēšanas un uzraudzības institūcijas funkcijas. Savukārt samērīguma princips savā būtībā ietver to, lai valsts pieņemot lēmumus neierobežotu personas tiesības vairāk nekā tas ir objektīvi nepieciešams leģitīma mērķa sasniegšanai. Tātad – starp mērķi un līdzekļiem ir jābūt saprātīgai līdzsvarotībai. Nosakot vienu patērētāju kreditēšanas uzraudzības institūciju valsts neiejaucas personas – patērētāja, kas ir fiziska persona, tiesībās, bet kā jau iepriekš minēts, izvēlas institūciju, kas nodrošinās atbilstošās funkcijas. Tādējādi patērētājiem pienākošais tiesību kopums, kas izriet no patērētāju tiesību tvēruma nekādā veidā netiek ierobežots vai mazināts. Arī patērētāju kreditētāju tiesības un pienākumi ar šo iecerēto funkciju un no tām izrietošo uzdevumu pāreju netiek ierobežoti, kā arī nerada jaunu administratīvo, finanšu vai konkurences slogu.</w:t>
            </w:r>
          </w:p>
          <w:p w14:paraId="36665FFB" w14:textId="77777777" w:rsidR="00222538" w:rsidRDefault="00222538" w:rsidP="00222538"/>
          <w:p w14:paraId="107CE858" w14:textId="77777777" w:rsidR="00222538" w:rsidRDefault="00222538" w:rsidP="00222538">
            <w:r w:rsidRPr="00BE63DC">
              <w:t>Tiesiskās paļāvības princips nozīmē, ka persona var paļauties uz to, ka tiesības un likumiskās intereses, kuras tā ir ieguvusi, tai vēlāk netiks atņemtas. Šā principa pamatā ir personas paļaušanās uz valsts tiesisku un konsekventu rīcību (</w:t>
            </w:r>
            <w:r w:rsidRPr="00BE63DC">
              <w:rPr>
                <w:i/>
              </w:rPr>
              <w:t>Satversmes tiesas 2012.gada 25.janvāra sprieduma lietā Nr. 2011-08-01 10.punkts</w:t>
            </w:r>
            <w:r w:rsidRPr="00BE63DC">
              <w:t>). Tā galvenais uzdevums ir aizsargāt personas tiesības gadījumos, kad normatīvā regulējuma grozījumu rezultātā notiek vai ir iespējama privātpersonu tiesiskā stāvokļa pasliktināšanās (</w:t>
            </w:r>
            <w:r w:rsidRPr="00BE63DC">
              <w:rPr>
                <w:i/>
              </w:rPr>
              <w:t>Satversmes tiesas 2006.gada 8.novembra sprieduma lietā Nr. 2006-04-01 21.punkts</w:t>
            </w:r>
            <w:r w:rsidRPr="00BE63DC">
              <w:t>). Taču tiesiskās paļāvības princips neizslēdz valsts iespēju grozīt pastāvošo tiesisko regulējumu (</w:t>
            </w:r>
            <w:r w:rsidRPr="00BE63DC">
              <w:rPr>
                <w:i/>
              </w:rPr>
              <w:t>Satversmes tiesas 2010.gada 1.decembra sprieduma lietā Nr. 2010-21-01 19.punkts</w:t>
            </w:r>
            <w:r w:rsidRPr="00BE63DC">
              <w:t>). Tiesiskās paļāvības princips tostarp noteic arī to, ka personas reiz iegūtās tiesības nevar pastāvēt neierobežoti ilgi, proti, šis princips nedod pamatu ticēt, ka reiz noteiktā tiesiskā situācija nekad nemainīsies (</w:t>
            </w:r>
            <w:r w:rsidRPr="00BE63DC">
              <w:rPr>
                <w:i/>
              </w:rPr>
              <w:t>Satversmes tiesas 2004.gada 25.oktobra sprieduma lietā Nr. 2004-03-01 9.3.punkts</w:t>
            </w:r>
            <w:r w:rsidRPr="00BE63DC">
              <w:t>).</w:t>
            </w:r>
          </w:p>
          <w:p w14:paraId="22EA2860" w14:textId="77777777" w:rsidR="00222538" w:rsidRDefault="00222538" w:rsidP="00222538">
            <w:r>
              <w:t xml:space="preserve">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w:t>
            </w:r>
            <w:r>
              <w:lastRenderedPageBreak/>
              <w:t>problēmas, analizēt datus, izstrādāt risinājumus un ieviest politikas pasākumus.</w:t>
            </w:r>
          </w:p>
          <w:p w14:paraId="0C1BAB64" w14:textId="77777777" w:rsidR="00222538" w:rsidRDefault="00222538" w:rsidP="00222538">
            <w:r>
              <w:t xml:space="preserve">Uzņēmējdarbības brīvība pēc būtības ietver personas tiesības brīvi uzsākt un veikt jebkāda veida saimniecisko darbību, izvēlēties nodarbošanos, veikt ieguldījumus un organizēt uzņēmumu, ja vien tas nav aizliegts ar likumu un atbilst sabiedrības interesēm. Funkciju pāreja no vienas institūcijas uz otru nerada Satversmes 105. pantā ietverto tiesību uz uzņēmējdarbības brīvību aizskārumu. </w:t>
            </w:r>
          </w:p>
          <w:p w14:paraId="1C8ADDDE" w14:textId="77777777" w:rsidR="00222538" w:rsidRDefault="00222538" w:rsidP="00222538"/>
          <w:p w14:paraId="166E4C84" w14:textId="77777777" w:rsidR="00222538" w:rsidRDefault="00222538" w:rsidP="00222538">
            <w:r>
              <w:t xml:space="preserve">Attiecībā uz labas likumdošanas principu norādāms, ka Satversmes tiesa ir atzinusi to, ka tas, ka </w:t>
            </w:r>
            <w:r w:rsidRPr="00CF1F0A">
              <w:t>likumdevējs nav ņēmis vērā visus paustos iebildumus un sniegtos priekšlikumus, nevar būt par pamatu tam, lai atzītu, ka labas likumdošanas princips nav ievērots (</w:t>
            </w:r>
            <w:r w:rsidRPr="00CF1F0A">
              <w:rPr>
                <w:i/>
                <w:iCs/>
              </w:rPr>
              <w:t>sk., piemēram, Satversmes tiesas 2015. gada 25. marta sprieduma lietā Nr. 2014-11-0103 18.1. punktu</w:t>
            </w:r>
            <w:r>
              <w:rPr>
                <w:i/>
                <w:iCs/>
              </w:rPr>
              <w:t>;</w:t>
            </w:r>
            <w:r w:rsidRPr="00391BD4">
              <w:rPr>
                <w:i/>
                <w:iCs/>
              </w:rPr>
              <w:t xml:space="preserve"> </w:t>
            </w:r>
            <w:r>
              <w:rPr>
                <w:i/>
                <w:iCs/>
              </w:rPr>
              <w:t xml:space="preserve">sk. arī </w:t>
            </w:r>
            <w:r w:rsidRPr="00391BD4">
              <w:rPr>
                <w:i/>
                <w:iCs/>
              </w:rPr>
              <w:t>Satversmes tiesas 20</w:t>
            </w:r>
            <w:r>
              <w:rPr>
                <w:i/>
                <w:iCs/>
              </w:rPr>
              <w:t>20</w:t>
            </w:r>
            <w:r w:rsidRPr="00391BD4">
              <w:rPr>
                <w:i/>
                <w:iCs/>
              </w:rPr>
              <w:t xml:space="preserve">. gada </w:t>
            </w:r>
            <w:r>
              <w:rPr>
                <w:i/>
                <w:iCs/>
              </w:rPr>
              <w:t>12. februāra</w:t>
            </w:r>
            <w:r w:rsidRPr="00391BD4">
              <w:rPr>
                <w:i/>
                <w:iCs/>
              </w:rPr>
              <w:t xml:space="preserve"> sprieduma lietā Nr. 20</w:t>
            </w:r>
            <w:r>
              <w:rPr>
                <w:i/>
                <w:iCs/>
              </w:rPr>
              <w:t>19</w:t>
            </w:r>
            <w:r w:rsidRPr="00391BD4">
              <w:rPr>
                <w:i/>
                <w:iCs/>
              </w:rPr>
              <w:t>-</w:t>
            </w:r>
            <w:r>
              <w:rPr>
                <w:i/>
                <w:iCs/>
              </w:rPr>
              <w:t>05</w:t>
            </w:r>
            <w:r w:rsidRPr="00391BD4">
              <w:rPr>
                <w:i/>
                <w:iCs/>
              </w:rPr>
              <w:t>-01 1</w:t>
            </w:r>
            <w:r>
              <w:rPr>
                <w:i/>
                <w:iCs/>
              </w:rPr>
              <w:t>9</w:t>
            </w:r>
            <w:r w:rsidRPr="00391BD4">
              <w:rPr>
                <w:i/>
                <w:iCs/>
              </w:rPr>
              <w:t>.1</w:t>
            </w:r>
            <w:r>
              <w:rPr>
                <w:i/>
                <w:iCs/>
              </w:rPr>
              <w:t>.1</w:t>
            </w:r>
            <w:r w:rsidRPr="00391BD4">
              <w:rPr>
                <w:i/>
                <w:iCs/>
              </w:rPr>
              <w:t>. punktu</w:t>
            </w:r>
            <w:r w:rsidRPr="00CF1F0A">
              <w:t xml:space="preserve">). </w:t>
            </w:r>
            <w:r>
              <w:t xml:space="preserve">Tāpat </w:t>
            </w:r>
            <w:r w:rsidRPr="00CF1F0A">
              <w:t xml:space="preserve">Satversmes tiesa </w:t>
            </w:r>
            <w:r>
              <w:t xml:space="preserve">ir </w:t>
            </w:r>
            <w:r w:rsidRPr="00CF1F0A">
              <w:t>uzsv</w:t>
            </w:r>
            <w:r>
              <w:t>ērusi</w:t>
            </w:r>
            <w:r w:rsidRPr="00CF1F0A">
              <w:t xml:space="preserve">,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w:t>
            </w:r>
            <w:r w:rsidRPr="009115A7">
              <w:rPr>
                <w:color w:val="auto"/>
              </w:rPr>
              <w:t>ievērojot </w:t>
            </w:r>
            <w:hyperlink r:id="rId7" w:tgtFrame="_blank" w:history="1">
              <w:r w:rsidRPr="009115A7">
                <w:rPr>
                  <w:rStyle w:val="Hyperlink"/>
                  <w:color w:val="auto"/>
                  <w:u w:val="none"/>
                </w:rPr>
                <w:t>Satversmē</w:t>
              </w:r>
            </w:hyperlink>
            <w:r w:rsidRPr="00CF1F0A">
              <w:t> ietvertās vērtības un vispārējos tiesību principus (</w:t>
            </w:r>
            <w:r w:rsidRPr="00CF1F0A">
              <w:rPr>
                <w:i/>
                <w:iCs/>
              </w:rPr>
              <w:t xml:space="preserve">sal. sk. Satversmes </w:t>
            </w:r>
            <w:r w:rsidRPr="00CF1F0A">
              <w:rPr>
                <w:i/>
                <w:iCs/>
              </w:rPr>
              <w:lastRenderedPageBreak/>
              <w:t>tiesas 2019. gada 23. aprīļa sprieduma lietā Nr. 2018-12-01 24.1. punktu</w:t>
            </w:r>
            <w:r>
              <w:rPr>
                <w:i/>
                <w:iCs/>
              </w:rPr>
              <w:t xml:space="preserve">; sk. arī </w:t>
            </w:r>
            <w:r w:rsidRPr="00391BD4">
              <w:rPr>
                <w:i/>
                <w:iCs/>
              </w:rPr>
              <w:t>Satversmes tiesas 20</w:t>
            </w:r>
            <w:r>
              <w:rPr>
                <w:i/>
                <w:iCs/>
              </w:rPr>
              <w:t>20</w:t>
            </w:r>
            <w:r w:rsidRPr="00391BD4">
              <w:rPr>
                <w:i/>
                <w:iCs/>
              </w:rPr>
              <w:t xml:space="preserve">. gada </w:t>
            </w:r>
            <w:r>
              <w:rPr>
                <w:i/>
                <w:iCs/>
              </w:rPr>
              <w:t>12. februāra</w:t>
            </w:r>
            <w:r w:rsidRPr="00391BD4">
              <w:rPr>
                <w:i/>
                <w:iCs/>
              </w:rPr>
              <w:t xml:space="preserve"> sprieduma lietā Nr. 20</w:t>
            </w:r>
            <w:r>
              <w:rPr>
                <w:i/>
                <w:iCs/>
              </w:rPr>
              <w:t>19</w:t>
            </w:r>
            <w:r w:rsidRPr="00391BD4">
              <w:rPr>
                <w:i/>
                <w:iCs/>
              </w:rPr>
              <w:t>-</w:t>
            </w:r>
            <w:r>
              <w:rPr>
                <w:i/>
                <w:iCs/>
              </w:rPr>
              <w:t>05</w:t>
            </w:r>
            <w:r w:rsidRPr="00391BD4">
              <w:rPr>
                <w:i/>
                <w:iCs/>
              </w:rPr>
              <w:t>-01 1</w:t>
            </w:r>
            <w:r>
              <w:rPr>
                <w:i/>
                <w:iCs/>
              </w:rPr>
              <w:t>9</w:t>
            </w:r>
            <w:r w:rsidRPr="00391BD4">
              <w:rPr>
                <w:i/>
                <w:iCs/>
              </w:rPr>
              <w:t>.1</w:t>
            </w:r>
            <w:r>
              <w:rPr>
                <w:i/>
                <w:iCs/>
              </w:rPr>
              <w:t>.1</w:t>
            </w:r>
            <w:r w:rsidRPr="00391BD4">
              <w:rPr>
                <w:i/>
                <w:iCs/>
              </w:rPr>
              <w:t>. punktu</w:t>
            </w:r>
            <w:r w:rsidRPr="00CF1F0A">
              <w:t>).</w:t>
            </w:r>
            <w:r>
              <w:t xml:space="preserve"> </w:t>
            </w:r>
          </w:p>
          <w:p w14:paraId="207A26A4" w14:textId="77777777" w:rsidR="00222538" w:rsidRDefault="00222538" w:rsidP="00222538">
            <w:r>
              <w:t>Ņemot vērā līdzšinējo finanšu sektora asociāciju aktīvo iesaisti gan  Informatīvā ziņojuma izstrādē, gan arī sniedzot atzinumus par likumprojektu pakotni TAP portālā,  kā arī, izvērtējot regulējuma iespējamo ietekmi uz personu ekonomiskajām interesēm, Finanšu ministrija, izvēloties sabiedriskās līdzdalības veidus, ir nodrošinājusi jēgpilnu, efektīvu, atklātu, ietverošu savlaicīgu un atbildīgu nozares iesaisti normatīvā regulējuma izstrādes procesā.</w:t>
            </w:r>
          </w:p>
          <w:p w14:paraId="09292E62" w14:textId="77777777" w:rsidR="00222538" w:rsidRDefault="00222538" w:rsidP="00222538"/>
          <w:p w14:paraId="0BE5200D" w14:textId="77777777" w:rsidR="00222538" w:rsidRDefault="00222538" w:rsidP="00222538">
            <w:r>
              <w:t xml:space="preserve">Tāpēc vēlreiz uzsverams, ka jau </w:t>
            </w:r>
            <w:r w:rsidRPr="005B6105">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w:t>
            </w:r>
            <w:r>
              <w:t>Savukārt a</w:t>
            </w:r>
            <w:r w:rsidRPr="005B6105">
              <w:t xml:space="preserve">r </w:t>
            </w:r>
            <w:r>
              <w:t xml:space="preserve">13 </w:t>
            </w:r>
            <w:r w:rsidRPr="005B6105">
              <w:t>likumprojektu</w:t>
            </w:r>
            <w:r>
              <w:t xml:space="preserve"> pakotni </w:t>
            </w:r>
            <w:r w:rsidRPr="005B6105">
              <w:t xml:space="preserve">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r>
              <w:t>.</w:t>
            </w:r>
          </w:p>
          <w:p w14:paraId="3A9A641E" w14:textId="77777777" w:rsidR="00E219C1" w:rsidRDefault="00E219C1" w:rsidP="00222538"/>
          <w:p w14:paraId="65EEBE70" w14:textId="77777777" w:rsidR="00E219C1" w:rsidRDefault="00E219C1" w:rsidP="00222538"/>
          <w:p w14:paraId="5E845484" w14:textId="35615018" w:rsidR="00E219C1" w:rsidRPr="00E219C1" w:rsidRDefault="00E219C1" w:rsidP="00E219C1">
            <w:pPr>
              <w:rPr>
                <w:b/>
                <w:bCs/>
              </w:rPr>
            </w:pPr>
            <w:r w:rsidRPr="00E219C1">
              <w:rPr>
                <w:b/>
                <w:bCs/>
              </w:rPr>
              <w:lastRenderedPageBreak/>
              <w:t>II</w:t>
            </w:r>
            <w:r w:rsidRPr="00E219C1">
              <w:rPr>
                <w:b/>
                <w:bCs/>
              </w:rPr>
              <w:t xml:space="preserve"> Par grozījumiem Reklāmas likumā</w:t>
            </w:r>
          </w:p>
          <w:p w14:paraId="4EDC2386" w14:textId="77777777" w:rsidR="00E219C1" w:rsidRDefault="00E219C1" w:rsidP="00E219C1">
            <w:pPr>
              <w:rPr>
                <w:i/>
              </w:rPr>
            </w:pPr>
          </w:p>
          <w:p w14:paraId="15AB468A" w14:textId="77777777" w:rsidR="00E219C1" w:rsidRDefault="00E219C1" w:rsidP="00E219C1">
            <w:r>
              <w:t>Grozījumu mērķis nav radīt jaunu vai būtiski stingrāku reklāmas regulējumu, bet gan nodrošināt vienotu, konsekventu un nozares specifikā balstītu reklāmas prasību piemērošanu finanšu pakalpojumu jomā. Latvijas Banka jau īsteno finanšu tirgus dalībnieku uzvedības uzraudzību, patērētāju aizsardzību finanšu pakalpojumu sniegšanā, riskos balstītu uzraudzības pieeju. Reklāma ir neatņemama finanšu pakalpojumu sniegšanas cikla sastāvdaļa, un tās uzraudzības piesaiste tam pašam uzraugam, kas vērtē paša pakalpojuma atbilstību, stiprina regulējuma sistēmisko loģiku. Tādējādi izmaiņas nevis paplašina uzraudzību, bet novērš fragmentāciju starp reklāmas uzraudzību un finanšu pakalpojumu uzraudzību.</w:t>
            </w:r>
          </w:p>
          <w:p w14:paraId="66BDD5E7" w14:textId="77777777" w:rsidR="00E219C1" w:rsidRDefault="00E219C1" w:rsidP="00E219C1"/>
          <w:p w14:paraId="1BC3DA7C" w14:textId="77777777" w:rsidR="00E219C1" w:rsidRDefault="00E219C1" w:rsidP="00E219C1">
            <w:r>
              <w:t xml:space="preserve">Grozījumi Reklāmas likumā nemaina reklāmas pamatprincipus (patiesums, godīgums, nepārprotama informācija, maldinošas reklāmas aizliegums), tie nemazina komersantu tiesības reklamēt savus pakalpojumus un neievieš jaunus saturiskus aizliegumus likuma līmenī. Ja reklāmas uzraudzība tiek īstenota saskaņoti ar pakalpojuma uzraudzību, komersantiem ilgtermiņā ir vieglāk prognozēt regulatora pieeju, nevis saskarties ar atšķirīgām interpretācijām no vairākām iestādēm. Līdz ar to </w:t>
            </w:r>
            <w:r>
              <w:rPr>
                <w:rFonts w:ascii="Segoe UI Symbol" w:hAnsi="Segoe UI Symbol" w:cs="Segoe UI Symbol"/>
              </w:rPr>
              <w:t>i</w:t>
            </w:r>
            <w:r>
              <w:t>etekme uz komercpraksi vērtējama kā strukturāla un paredzamību uzlabojoša, nevis ierobežojoša.</w:t>
            </w:r>
          </w:p>
          <w:p w14:paraId="251879D7" w14:textId="6E9EE0E8" w:rsidR="00470F6D" w:rsidRDefault="00E219C1" w:rsidP="00E219C1">
            <w:r>
              <w:lastRenderedPageBreak/>
              <w:t>Anotācijā reklāmas regulējuma izmaiņas tika vērtētas funkcionāli – kā daļa no finanšu tirgus uzraudzības konsolidācijas, nevis kā autonoms reklāmas politikas reformu bloks. Likumprojekta anotācijas mērķis nav detalizēti aprakstīt nākotnes uzraudzības praksi, bet gan pamatot kompetenču pārdali, norādīt regulējuma mērķi, skaidrot sistēmisko ieguvumu. Uzraudzības īstenošanas detaļas (t.sk. pieeja reklāmas izvērtēšanai) dabiskā kārtā attīstās regulatora praksē, vadlīnijās un publiskos skaidrojumos, ņemot vērā tirgus īpatnības un proporcionalitāti. Anotācijas uzdevums nav aizstāt nākotnes uzraudzības vadlīnijas.</w:t>
            </w:r>
          </w:p>
        </w:tc>
        <w:tc>
          <w:tcPr>
            <w:tcW w:w="2949" w:type="dxa"/>
            <w:shd w:val="clear" w:color="auto" w:fill="FFFFFF"/>
            <w:noWrap/>
            <w:tcMar>
              <w:top w:w="75" w:type="dxa"/>
              <w:left w:w="75" w:type="dxa"/>
              <w:bottom w:w="75" w:type="dxa"/>
              <w:right w:w="75" w:type="dxa"/>
            </w:tcMar>
          </w:tcPr>
          <w:p w14:paraId="3706FB68" w14:textId="77777777" w:rsidR="00470F6D" w:rsidRDefault="00470F6D" w:rsidP="00952A76">
            <w:pPr>
              <w:spacing w:after="240"/>
              <w:rPr>
                <w:b/>
              </w:rPr>
            </w:pPr>
            <w:r>
              <w:rPr>
                <w:b/>
              </w:rPr>
              <w:lastRenderedPageBreak/>
              <w:t>Likumprojekts (grozījumi)</w:t>
            </w:r>
          </w:p>
          <w:p w14:paraId="21E79781" w14:textId="066E95E3" w:rsidR="00470F6D" w:rsidRDefault="00470F6D" w:rsidP="00952A76">
            <w:r>
              <w:t xml:space="preserve"> Grozījumi </w:t>
            </w:r>
            <w:r w:rsidR="00952A76">
              <w:t xml:space="preserve">Reklāmas </w:t>
            </w:r>
            <w:r>
              <w:t>likumā</w:t>
            </w:r>
          </w:p>
        </w:tc>
      </w:tr>
    </w:tbl>
    <w:p w14:paraId="5B6EE59F" w14:textId="614F8D36" w:rsidR="00F04A11" w:rsidRDefault="00952A76">
      <w:r>
        <w:lastRenderedPageBreak/>
        <w:br w:type="textWrapping" w:clear="all"/>
      </w:r>
    </w:p>
    <w:sectPr w:rsidR="00F04A11" w:rsidSect="00470F6D">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DFECB" w14:textId="77777777" w:rsidR="00466BDA" w:rsidRDefault="00466BDA" w:rsidP="00470F6D">
      <w:r>
        <w:separator/>
      </w:r>
    </w:p>
  </w:endnote>
  <w:endnote w:type="continuationSeparator" w:id="0">
    <w:p w14:paraId="513AC1DA" w14:textId="77777777" w:rsidR="00466BDA" w:rsidRDefault="00466BDA" w:rsidP="0047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D3F2" w14:textId="77777777" w:rsidR="00470F6D" w:rsidRDefault="00470F6D">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F418" w14:textId="77777777" w:rsidR="00470F6D" w:rsidRDefault="00470F6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C76D9" w14:textId="77777777" w:rsidR="00466BDA" w:rsidRDefault="00466BDA" w:rsidP="00470F6D">
      <w:r>
        <w:separator/>
      </w:r>
    </w:p>
  </w:footnote>
  <w:footnote w:type="continuationSeparator" w:id="0">
    <w:p w14:paraId="491FEBEA" w14:textId="77777777" w:rsidR="00466BDA" w:rsidRDefault="00466BDA" w:rsidP="00470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7530" w14:textId="46D7E60A" w:rsidR="00470F6D" w:rsidRDefault="00470F6D">
    <w:pPr>
      <w:pStyle w:val="Header"/>
      <w:contextualSpacing w:val="0"/>
    </w:pPr>
    <w:r>
      <w:t>Izziņa 26-TA-744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A4EA" w14:textId="63936B1C" w:rsidR="00470F6D" w:rsidRDefault="00470F6D">
    <w:pPr>
      <w:pStyle w:val="Header"/>
      <w:contextualSpacing w:val="0"/>
    </w:pPr>
    <w:r>
      <w:t>Izziņa 26-TA-74</w:t>
    </w:r>
    <w:r w:rsidR="00952A76">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039"/>
    <w:multiLevelType w:val="multilevel"/>
    <w:tmpl w:val="6A10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71FDE"/>
    <w:multiLevelType w:val="multilevel"/>
    <w:tmpl w:val="7024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CA7AC7"/>
    <w:multiLevelType w:val="multilevel"/>
    <w:tmpl w:val="0E226A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A61C7F"/>
    <w:multiLevelType w:val="multilevel"/>
    <w:tmpl w:val="CAFEF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881C33"/>
    <w:multiLevelType w:val="multilevel"/>
    <w:tmpl w:val="274ACF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CA7FC9"/>
    <w:multiLevelType w:val="multilevel"/>
    <w:tmpl w:val="479A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051254"/>
    <w:multiLevelType w:val="multilevel"/>
    <w:tmpl w:val="B7FCD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0A229C"/>
    <w:multiLevelType w:val="multilevel"/>
    <w:tmpl w:val="DE28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10C54"/>
    <w:multiLevelType w:val="hybridMultilevel"/>
    <w:tmpl w:val="E140F272"/>
    <w:lvl w:ilvl="0" w:tplc="384C2D3C">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9" w15:restartNumberingAfterBreak="0">
    <w:nsid w:val="64F26D22"/>
    <w:multiLevelType w:val="multilevel"/>
    <w:tmpl w:val="E628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0A422C"/>
    <w:multiLevelType w:val="multilevel"/>
    <w:tmpl w:val="A378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6501211">
    <w:abstractNumId w:val="4"/>
    <w:lvlOverride w:ilvl="0"/>
    <w:lvlOverride w:ilvl="1">
      <w:startOverride w:val="1"/>
    </w:lvlOverride>
    <w:lvlOverride w:ilvl="2"/>
    <w:lvlOverride w:ilvl="3"/>
    <w:lvlOverride w:ilvl="4"/>
    <w:lvlOverride w:ilvl="5"/>
    <w:lvlOverride w:ilvl="6"/>
    <w:lvlOverride w:ilvl="7"/>
    <w:lvlOverride w:ilvl="8"/>
  </w:num>
  <w:num w:numId="2" w16cid:durableId="26142435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8128628">
    <w:abstractNumId w:val="2"/>
  </w:num>
  <w:num w:numId="4" w16cid:durableId="746651876">
    <w:abstractNumId w:val="3"/>
  </w:num>
  <w:num w:numId="5" w16cid:durableId="117379229">
    <w:abstractNumId w:val="0"/>
  </w:num>
  <w:num w:numId="6" w16cid:durableId="61103446">
    <w:abstractNumId w:val="1"/>
  </w:num>
  <w:num w:numId="7" w16cid:durableId="156963027">
    <w:abstractNumId w:val="10"/>
  </w:num>
  <w:num w:numId="8" w16cid:durableId="78792941">
    <w:abstractNumId w:val="6"/>
  </w:num>
  <w:num w:numId="9" w16cid:durableId="1657610013">
    <w:abstractNumId w:val="5"/>
  </w:num>
  <w:num w:numId="10" w16cid:durableId="136609502">
    <w:abstractNumId w:val="9"/>
  </w:num>
  <w:num w:numId="11" w16cid:durableId="1462729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6D"/>
    <w:rsid w:val="00094BCE"/>
    <w:rsid w:val="00222538"/>
    <w:rsid w:val="00293D94"/>
    <w:rsid w:val="00434067"/>
    <w:rsid w:val="00466BDA"/>
    <w:rsid w:val="00470F6D"/>
    <w:rsid w:val="00503413"/>
    <w:rsid w:val="00632E78"/>
    <w:rsid w:val="00750867"/>
    <w:rsid w:val="00762B06"/>
    <w:rsid w:val="00910B5B"/>
    <w:rsid w:val="00952A76"/>
    <w:rsid w:val="009D178C"/>
    <w:rsid w:val="00B776F1"/>
    <w:rsid w:val="00E219C1"/>
    <w:rsid w:val="00F04A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A7686"/>
  <w15:chartTrackingRefBased/>
  <w15:docId w15:val="{287D1559-1776-4116-B01B-9337A77A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F6D"/>
    <w:pPr>
      <w:spacing w:after="0" w:line="240" w:lineRule="auto"/>
      <w:jc w:val="both"/>
    </w:pPr>
    <w:rPr>
      <w:rFonts w:ascii="Times New Roman" w:eastAsia="Times New Roman" w:hAnsi="Times New Roman" w:cs="Times New Roman"/>
      <w:color w:val="333333"/>
      <w:kern w:val="0"/>
      <w:szCs w:val="20"/>
      <w:lang w:eastAsia="lv-LV"/>
      <w14:ligatures w14:val="none"/>
    </w:rPr>
  </w:style>
  <w:style w:type="paragraph" w:styleId="Heading1">
    <w:name w:val="heading 1"/>
    <w:basedOn w:val="Normal"/>
    <w:next w:val="Normal"/>
    <w:link w:val="Heading1Char"/>
    <w:uiPriority w:val="9"/>
    <w:qFormat/>
    <w:rsid w:val="00470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0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F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F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F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F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F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F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F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F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F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F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F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F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F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F6D"/>
    <w:rPr>
      <w:rFonts w:eastAsiaTheme="majorEastAsia" w:cstheme="majorBidi"/>
      <w:color w:val="272727" w:themeColor="text1" w:themeTint="D8"/>
    </w:rPr>
  </w:style>
  <w:style w:type="paragraph" w:styleId="Title">
    <w:name w:val="Title"/>
    <w:basedOn w:val="Normal"/>
    <w:next w:val="Normal"/>
    <w:link w:val="TitleChar"/>
    <w:uiPriority w:val="10"/>
    <w:qFormat/>
    <w:rsid w:val="00470F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F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F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F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F6D"/>
    <w:pPr>
      <w:spacing w:before="160"/>
      <w:jc w:val="center"/>
    </w:pPr>
    <w:rPr>
      <w:i/>
      <w:iCs/>
      <w:color w:val="404040" w:themeColor="text1" w:themeTint="BF"/>
    </w:rPr>
  </w:style>
  <w:style w:type="character" w:customStyle="1" w:styleId="QuoteChar">
    <w:name w:val="Quote Char"/>
    <w:basedOn w:val="DefaultParagraphFont"/>
    <w:link w:val="Quote"/>
    <w:uiPriority w:val="29"/>
    <w:rsid w:val="00470F6D"/>
    <w:rPr>
      <w:i/>
      <w:iCs/>
      <w:color w:val="404040" w:themeColor="text1" w:themeTint="BF"/>
    </w:rPr>
  </w:style>
  <w:style w:type="paragraph" w:styleId="ListParagraph">
    <w:name w:val="List Paragraph"/>
    <w:basedOn w:val="Normal"/>
    <w:uiPriority w:val="34"/>
    <w:qFormat/>
    <w:rsid w:val="00470F6D"/>
    <w:pPr>
      <w:ind w:left="720"/>
      <w:contextualSpacing/>
    </w:pPr>
  </w:style>
  <w:style w:type="character" w:styleId="IntenseEmphasis">
    <w:name w:val="Intense Emphasis"/>
    <w:basedOn w:val="DefaultParagraphFont"/>
    <w:uiPriority w:val="21"/>
    <w:qFormat/>
    <w:rsid w:val="00470F6D"/>
    <w:rPr>
      <w:i/>
      <w:iCs/>
      <w:color w:val="0F4761" w:themeColor="accent1" w:themeShade="BF"/>
    </w:rPr>
  </w:style>
  <w:style w:type="paragraph" w:styleId="IntenseQuote">
    <w:name w:val="Intense Quote"/>
    <w:basedOn w:val="Normal"/>
    <w:next w:val="Normal"/>
    <w:link w:val="IntenseQuoteChar"/>
    <w:uiPriority w:val="30"/>
    <w:qFormat/>
    <w:rsid w:val="00470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F6D"/>
    <w:rPr>
      <w:i/>
      <w:iCs/>
      <w:color w:val="0F4761" w:themeColor="accent1" w:themeShade="BF"/>
    </w:rPr>
  </w:style>
  <w:style w:type="character" w:styleId="IntenseReference">
    <w:name w:val="Intense Reference"/>
    <w:basedOn w:val="DefaultParagraphFont"/>
    <w:uiPriority w:val="32"/>
    <w:qFormat/>
    <w:rsid w:val="00470F6D"/>
    <w:rPr>
      <w:b/>
      <w:bCs/>
      <w:smallCaps/>
      <w:color w:val="0F4761" w:themeColor="accent1" w:themeShade="BF"/>
      <w:spacing w:val="5"/>
    </w:rPr>
  </w:style>
  <w:style w:type="paragraph" w:customStyle="1" w:styleId="paragraph">
    <w:name w:val="paragraph"/>
    <w:basedOn w:val="Normal"/>
    <w:next w:val="Normal"/>
    <w:rsid w:val="00470F6D"/>
    <w:pPr>
      <w:contextualSpacing/>
    </w:pPr>
  </w:style>
  <w:style w:type="paragraph" w:customStyle="1" w:styleId="titleparagraph">
    <w:name w:val="title_paragraph"/>
    <w:basedOn w:val="Normal"/>
    <w:next w:val="Normal"/>
    <w:rsid w:val="00470F6D"/>
    <w:pPr>
      <w:spacing w:after="280"/>
      <w:contextualSpacing/>
    </w:pPr>
    <w:rPr>
      <w:b/>
      <w:sz w:val="28"/>
    </w:rPr>
  </w:style>
  <w:style w:type="paragraph" w:styleId="Header">
    <w:name w:val="header"/>
    <w:basedOn w:val="Normal"/>
    <w:next w:val="Normal"/>
    <w:link w:val="HeaderChar"/>
    <w:rsid w:val="00470F6D"/>
    <w:pPr>
      <w:spacing w:after="280"/>
      <w:contextualSpacing/>
      <w:jc w:val="right"/>
    </w:pPr>
  </w:style>
  <w:style w:type="character" w:customStyle="1" w:styleId="HeaderChar">
    <w:name w:val="Header Char"/>
    <w:basedOn w:val="DefaultParagraphFont"/>
    <w:link w:val="Header"/>
    <w:rsid w:val="00470F6D"/>
    <w:rPr>
      <w:rFonts w:ascii="Times New Roman" w:eastAsia="Times New Roman" w:hAnsi="Times New Roman" w:cs="Times New Roman"/>
      <w:color w:val="333333"/>
      <w:kern w:val="0"/>
      <w:szCs w:val="20"/>
      <w:lang w:eastAsia="lv-LV"/>
      <w14:ligatures w14:val="none"/>
    </w:rPr>
  </w:style>
  <w:style w:type="paragraph" w:customStyle="1" w:styleId="signeddocumentparagraph">
    <w:name w:val="signed_document_paragraph"/>
    <w:basedOn w:val="Normal"/>
    <w:next w:val="Normal"/>
    <w:rsid w:val="00470F6D"/>
    <w:pPr>
      <w:contextualSpacing/>
      <w:jc w:val="right"/>
    </w:pPr>
  </w:style>
  <w:style w:type="paragraph" w:styleId="Footer">
    <w:name w:val="footer"/>
    <w:basedOn w:val="Normal"/>
    <w:link w:val="FooterChar"/>
    <w:uiPriority w:val="99"/>
    <w:unhideWhenUsed/>
    <w:rsid w:val="00470F6D"/>
    <w:pPr>
      <w:tabs>
        <w:tab w:val="center" w:pos="4153"/>
        <w:tab w:val="right" w:pos="8306"/>
      </w:tabs>
    </w:pPr>
  </w:style>
  <w:style w:type="character" w:customStyle="1" w:styleId="FooterChar">
    <w:name w:val="Footer Char"/>
    <w:basedOn w:val="DefaultParagraphFont"/>
    <w:link w:val="Footer"/>
    <w:uiPriority w:val="99"/>
    <w:rsid w:val="00470F6D"/>
    <w:rPr>
      <w:rFonts w:ascii="Times New Roman" w:eastAsia="Times New Roman" w:hAnsi="Times New Roman" w:cs="Times New Roman"/>
      <w:color w:val="333333"/>
      <w:kern w:val="0"/>
      <w:szCs w:val="20"/>
      <w:lang w:eastAsia="lv-LV"/>
      <w14:ligatures w14:val="none"/>
    </w:rPr>
  </w:style>
  <w:style w:type="character" w:styleId="Hyperlink">
    <w:name w:val="Hyperlink"/>
    <w:basedOn w:val="DefaultParagraphFont"/>
    <w:uiPriority w:val="99"/>
    <w:unhideWhenUsed/>
    <w:rsid w:val="00470F6D"/>
    <w:rPr>
      <w:color w:val="467886" w:themeColor="hyperlink"/>
      <w:u w:val="single"/>
    </w:rPr>
  </w:style>
  <w:style w:type="character" w:styleId="CommentReference">
    <w:name w:val="annotation reference"/>
    <w:basedOn w:val="DefaultParagraphFont"/>
    <w:uiPriority w:val="99"/>
    <w:semiHidden/>
    <w:unhideWhenUsed/>
    <w:rsid w:val="00470F6D"/>
    <w:rPr>
      <w:sz w:val="16"/>
      <w:szCs w:val="16"/>
    </w:rPr>
  </w:style>
  <w:style w:type="paragraph" w:styleId="CommentText">
    <w:name w:val="annotation text"/>
    <w:basedOn w:val="Normal"/>
    <w:link w:val="CommentTextChar"/>
    <w:uiPriority w:val="99"/>
    <w:unhideWhenUsed/>
    <w:rsid w:val="00470F6D"/>
    <w:rPr>
      <w:sz w:val="20"/>
    </w:rPr>
  </w:style>
  <w:style w:type="character" w:customStyle="1" w:styleId="CommentTextChar">
    <w:name w:val="Comment Text Char"/>
    <w:basedOn w:val="DefaultParagraphFont"/>
    <w:link w:val="CommentText"/>
    <w:uiPriority w:val="99"/>
    <w:rsid w:val="00470F6D"/>
    <w:rPr>
      <w:rFonts w:ascii="Times New Roman" w:eastAsia="Times New Roman" w:hAnsi="Times New Roman" w:cs="Times New Roman"/>
      <w:color w:val="333333"/>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470F6D"/>
    <w:rPr>
      <w:b/>
      <w:bCs/>
    </w:rPr>
  </w:style>
  <w:style w:type="character" w:customStyle="1" w:styleId="CommentSubjectChar">
    <w:name w:val="Comment Subject Char"/>
    <w:basedOn w:val="CommentTextChar"/>
    <w:link w:val="CommentSubject"/>
    <w:uiPriority w:val="99"/>
    <w:semiHidden/>
    <w:rsid w:val="00470F6D"/>
    <w:rPr>
      <w:rFonts w:ascii="Times New Roman" w:eastAsia="Times New Roman" w:hAnsi="Times New Roman" w:cs="Times New Roman"/>
      <w:b/>
      <w:bCs/>
      <w:color w:val="333333"/>
      <w:kern w:val="0"/>
      <w:sz w:val="20"/>
      <w:szCs w:val="20"/>
      <w:lang w:eastAsia="lv-LV"/>
      <w14:ligatures w14:val="none"/>
    </w:rPr>
  </w:style>
  <w:style w:type="character" w:styleId="Mention">
    <w:name w:val="Mention"/>
    <w:basedOn w:val="DefaultParagraphFont"/>
    <w:uiPriority w:val="99"/>
    <w:unhideWhenUsed/>
    <w:rsid w:val="00470F6D"/>
    <w:rPr>
      <w:color w:val="2B579A"/>
      <w:shd w:val="clear" w:color="auto" w:fill="E1DFDD"/>
    </w:rPr>
  </w:style>
  <w:style w:type="character" w:styleId="UnresolvedMention">
    <w:name w:val="Unresolved Mention"/>
    <w:basedOn w:val="DefaultParagraphFont"/>
    <w:uiPriority w:val="99"/>
    <w:semiHidden/>
    <w:unhideWhenUsed/>
    <w:rsid w:val="00470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57980-latvijas-republikas-satvers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10</Pages>
  <Words>12518</Words>
  <Characters>7136</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Jenerte</dc:creator>
  <cp:keywords/>
  <dc:description/>
  <cp:lastModifiedBy>Santa</cp:lastModifiedBy>
  <cp:revision>5</cp:revision>
  <dcterms:created xsi:type="dcterms:W3CDTF">2026-04-24T10:12:00Z</dcterms:created>
  <dcterms:modified xsi:type="dcterms:W3CDTF">2026-04-28T11:33:00Z</dcterms:modified>
</cp:coreProperties>
</file>