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24-TA-702: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"Dzegūzes" Codes pagastā, Bauskas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pievienot pie paskaidrojošiem dokumentiem elektroniskā pasta izdruku, kurā īpašniece ir informēta par valsts plānoto rīcību un iespējamo laika grafiku Bauskas apvedceļa projektēšanas un būvdarbu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Īpašniece iepriekš minēto informāciju ir pieprasījusi, un Sabiedrība 2023.gada 28.novembrī tālāk to ir pieprasījusi no Satiksmes ministrijas un VSIA “Latvijas Valsts ceļi” (</w:t>
            </w:r>
            <w:r w:rsidR="00000000" w:rsidRPr="00000000" w:rsidDel="00000000">
              <w:rPr>
                <w:i w:val="1"/>
                <w:rtl w:val="0"/>
              </w:rPr>
              <w:t xml:space="preserve">skatīt TAP paskaidrojošie dokumenti I pielikums 96.lapa</w:t>
            </w:r>
            <w:r w:rsidR="00000000" w:rsidRPr="00000000" w:rsidDel="00000000">
              <w:rPr>
                <w:rtl w:val="0"/>
              </w:rPr>
              <w:t xml:space="preserve">). Minētā informācija vēl nebija saņemta 2023.gada 11.decembrī (</w:t>
            </w:r>
            <w:r w:rsidR="00000000" w:rsidRPr="00000000" w:rsidDel="00000000">
              <w:rPr>
                <w:i w:val="1"/>
                <w:rtl w:val="0"/>
              </w:rPr>
              <w:t xml:space="preserve">skatīt TAP paskaidrojošie dokumenti I pielikums 99.lapa, 10.punkts</w:t>
            </w:r>
            <w:r w:rsidR="00000000" w:rsidRPr="00000000" w:rsidDel="00000000">
              <w:rPr>
                <w:rtl w:val="0"/>
              </w:rPr>
              <w:t xml:space="preserve">), taču tā varētu būt saņemta šobrīd.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anotācija netiek papildināta, vienlaikus sniedzam šādu informāciju un pievienojam elektroniskā pasta sūtījumu, ar kuru ir informēta īpašniece par valsts plānoto rīcību un iespējamo laika grafiku Bauskas apvedceļa projektēšanas un būvdarbu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atbildību "Eiropas dzelzceļa līnijas" (turpmāk – Sabiedrība) 2023. gada 28. novembrī vērsās Satiksmes ministrijā un valsts sabiedrība ar ierobežotu atbildību "Latvijas Valsts ceļi", lūdzot sniegt informāciju par valsts plānoto rīcību un iespējamo laika grafiku Bauskas apvedceļa projektēšanas un būvdarbu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9. aprīlī Sabiedrība saņēma Satiksmes ministrijas elektroniskā pasta sūtījumu, kurā ir norādīts, ka Satiksmes ministrija ir izstrādājusi informatīvo ziņojumu "Par valsts galvenā autoceļa A7 Rīga – Bauska – Lietuvas robeža (Grenctāle) posma no Ķekavas apvedceļa līdz Bauskai (Ārcei) pārbūves projekta īstenošanu un tam nepieciešamā finansējuma nodrošināšanu" (23-TA-1596), kas šobrīd ir saskaņošanas procesā. Atbilstoši plānotajam laika grafikam, pie nosacījuma, ka Ministru kabinets pieņem lēmumu par Bauskas PPP projekta partnerības procedūras uzsākšanu 2024. gada aprīlī, tiek paredzēts, ka PPP līgums par Bauskas apvedceļa projektēšanu un būvniecību tiks noslēgts 2027. gada jūnijā un tiks uzsākti projektēšanas darbi un būvdarbi, kas ilgs līdz 3 gadiem, t. i., līdz 2030. gada jūnijam. Ja Ministru kabineta lēmums netiek pieņemts 2024. gada aprīlī, tad par tādu periodu pārcelsies arī Bauskas apvedceļa ieviešanas laika grafiks.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2024. gada 9. aprīļa elektroniskā pasta sūtījumu Sabiedrība informēja Nekustamā īpašuma īpašnieci par valsts plānoto rīcību un iespējamo laika grafiku Bauskas apvedceļa projektēšanas un būvdarbu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un pievienot nepieciešamos dokumentus, uz kuru pamata tika pieņemts lēmums noraidīt īpašnieces pieteikto prasījumu par citu nekustamo īpašumu kā atlīdzības kompensācijas veidu, jo Satiksmes ministrija bija iesniegusi nekustamā īpašuma sarakstu, taču no pievienotajiem dokumentiem ir izdarīts secinājums, ka Satiksmes ministrijas valdījumā nav līdzvērtīgu nekustamo īpašumu, noraidot īpašnieces pieteikto prasījumu.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Īpašniece ir izteikusi vēlmi saņemt citu nekustamo īpašumu kā atlīdzības kompensācijas veidu, norādot pašvaldības īpašumā esošās zemes vienības (</w:t>
            </w:r>
            <w:r w:rsidR="00000000" w:rsidRPr="00000000" w:rsidDel="00000000">
              <w:rPr>
                <w:i w:val="1"/>
                <w:rtl w:val="0"/>
              </w:rPr>
              <w:t xml:space="preserve">skatīt TAP paskaidrojošie dokumenti I pielikums 74.lapa</w:t>
            </w:r>
            <w:r w:rsidR="00000000" w:rsidRPr="00000000" w:rsidDel="00000000">
              <w:rPr>
                <w:rtl w:val="0"/>
              </w:rPr>
              <w:t xml:space="preserve">). 2023.gada 20.oktobra apsekošanas akts nav parakstīts, jo atteikums parakstīšanai ir vēlme iegūt līdzvērtīgu īpašumu (</w:t>
            </w:r>
            <w:r w:rsidR="00000000" w:rsidRPr="00000000" w:rsidDel="00000000">
              <w:rPr>
                <w:i w:val="1"/>
                <w:rtl w:val="0"/>
              </w:rPr>
              <w:t xml:space="preserve">skatīt TAP paskaidrojošie dokumenti I pielikums 78.lapa</w:t>
            </w:r>
            <w:r w:rsidR="00000000" w:rsidRPr="00000000" w:rsidDel="00000000">
              <w:rPr>
                <w:rtl w:val="0"/>
              </w:rPr>
              <w:t xml:space="preserve">). Īpašnieces norādītie īpašumi ir nepieciešami pašvaldībai (</w:t>
            </w:r>
            <w:r w:rsidR="00000000" w:rsidRPr="00000000" w:rsidDel="00000000">
              <w:rPr>
                <w:i w:val="1"/>
                <w:rtl w:val="0"/>
              </w:rPr>
              <w:t xml:space="preserve">skatīt TAP paskaidrojošie dokumenti I pielikums 83-84.lapa</w:t>
            </w:r>
            <w:r w:rsidR="00000000" w:rsidRPr="00000000" w:rsidDel="00000000">
              <w:rPr>
                <w:rtl w:val="0"/>
              </w:rPr>
              <w:t xml:space="preserve">), savukārt </w:t>
            </w:r>
            <w:r w:rsidR="00000000" w:rsidRPr="00000000" w:rsidDel="00000000">
              <w:rPr>
                <w:b w:val="1"/>
                <w:rtl w:val="0"/>
              </w:rPr>
              <w:t xml:space="preserve">Satiksmes ministrija ir iesniegusi nekustamā īpašuma sarakstu, kuru potenciāli varētu izmantot kā atlīdzības kompensācijas veidu </w:t>
            </w:r>
            <w:r w:rsidR="00000000" w:rsidRPr="00000000" w:rsidDel="00000000">
              <w:rPr>
                <w:rtl w:val="0"/>
              </w:rPr>
              <w:t xml:space="preserve">(</w:t>
            </w:r>
            <w:r w:rsidR="00000000" w:rsidRPr="00000000" w:rsidDel="00000000">
              <w:rPr>
                <w:i w:val="1"/>
                <w:rtl w:val="0"/>
              </w:rPr>
              <w:t xml:space="preserve">skatīt TAP paskaidrojošie dokumenti I pielikums 85-87.lapa</w:t>
            </w:r>
            <w:r w:rsidR="00000000" w:rsidRPr="00000000" w:rsidDel="00000000">
              <w:rPr>
                <w:rtl w:val="0"/>
              </w:rPr>
              <w:t xml:space="preserve">). No 2023.gada 11.decembra paziņojuma “Par aprēķināto atlīdzību un uzaicinājumu piedalīties Atlīdzības noteikšanas komisijas sēdē” 11.punkta izriet, ka noraidīts īpašnieces prasījums par citu nekustamo īpašumu kā atlīdzības kompensācijas veidu, jo no Bauskas novada pašvaldības, kā arī </w:t>
            </w:r>
            <w:r w:rsidR="00000000" w:rsidRPr="00000000" w:rsidDel="00000000">
              <w:rPr>
                <w:b w:val="1"/>
                <w:rtl w:val="0"/>
              </w:rPr>
              <w:t xml:space="preserve">Satiksmes ministrijas ir saņemtas atbildes vēstules, kurās minētās institūcijas informē par to, ka īpašumā vai valdījumā nav nekustamo īpašumu</w:t>
            </w:r>
            <w:r w:rsidR="00000000" w:rsidRPr="00000000" w:rsidDel="00000000">
              <w:rPr>
                <w:rtl w:val="0"/>
              </w:rPr>
              <w:t xml:space="preserve">, kas būtu izmantojami kā līdzvērtīgi atlīdzības kompensācijas objekti (</w:t>
            </w:r>
            <w:r w:rsidR="00000000" w:rsidRPr="00000000" w:rsidDel="00000000">
              <w:rPr>
                <w:i w:val="1"/>
                <w:rtl w:val="0"/>
              </w:rPr>
              <w:t xml:space="preserve">skatīt TAP paskaidrojošie dokumenti I pielikums 99.lapa</w:t>
            </w:r>
            <w:r w:rsidR="00000000" w:rsidRPr="00000000" w:rsidDel="00000000">
              <w:rPr>
                <w:rtl w:val="0"/>
              </w:rPr>
              <w:t xml:space="preserve">). Minētā prasība noraidīta arī ar Satiksmes ministrijas 2024.gada 13.marta lēmumu (</w:t>
            </w:r>
            <w:r w:rsidR="00000000" w:rsidRPr="00000000" w:rsidDel="00000000">
              <w:rPr>
                <w:i w:val="1"/>
                <w:rtl w:val="0"/>
              </w:rPr>
              <w:t xml:space="preserve">skatīt TAP paskaidrojošie dokumenti II pielikums 3.lapa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tiek precizēta, norādot uz citu nekustamo īpašumu Codes pagastā kā atlīdzības kompensācijas veidu, vienlaikus sniedzot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norāda, ka Nekustamā īpašuma īpašniece savā 2023. gada 20. marta iesniegumā norāda, ka viņa ir gatava piekrist vienīgi atbilstošas zemes maiņai Codes pagastā. Nekustamā īpašuma īpašniece 2023. gada 31. jūlija elektroniskā pasta sūtījumā Sabiedrībai norādīja uz konkrētiem Bauskas novada pašvaldībai piederošajiem (piekrītošajiem) nekustamajiem īpašumiem Codes pagastā, par kuriem Nekustamā īpašuma īpašniece būtu ieinteresēta  saņemt tos kā līdzvērtīgu atlīdzības kompensācijas veidu. Lai nodrošinātu Nekustamās īpašuma īpašnieces intereses, Sabiedrība ar 2023. gada 12. augusta vēstuli vērsās Bauskas novada pašvaldībā, lūdzot pašvaldību izvērtēt iespēju nodot īpašniecei minētās zemes vienības bez atlīdzības valstij Satiksmes ministrijas personā Rail Baltica projekta realizācijas nodrošināšanai, lai tās izmantotu kā atlīdzības kompensācijas veidu, veicot nekustamo īpašumu Codes pagastā, Bauskas novadā, atsavināšanu sabiedrības vajadzībām. No Bauskas novada pašvaldības tika saņemta atbilde, kurā pašvaldība informē, ka nepiekrīt īpašnieka norādīto zemes vienību nodošanai bez atlīdzības valstij, lai tās varētu tikt izmantotas kā atlīdzības kompensācijas objekti, pamatojot ar to, ka tie ir nepieciešami Pašvaldību likuma 4. pantā noteikto autonomo funkciju nodrošināšanai vai par tie ir noslēgti ilgtermiņi zemes nomas līgumi.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īpašniece ir paudusi savu viedokli, ka tā vēlas saņemt tikai tādu nekustamo īpašumu kā līdzvērtīgu atlīdzības kompensācijas veidu, kas atrodas Codes pagastā, Bauskas novadā. Šādu viedokli Nekustamā īpašuma īpašniece ir paudusi arī mutiskajā komunikācijā, norādot, ka viņu interesē līdzvērtīgi nekustamie īpašumi Codes pagastā, Bauskas novadā. Mutiskā komunikācijā Sabiedrība piedāvāja Nekustamā īpašuma īpašniecei apsvērt kā līdzvērtīgu nekustamo īpašumu saņemt daļu no nekustamā īpašuma "Jaunbrunava" Brunavas pagastā, Bauskas novadā, kadastra Nr. 4046 001 0007, sastāvā esošās zemes vienības ar kadastra apzīmējumu 4046 001 0025 (zemes vienības kadastra apzīmējums pirms tā sadales), kurai reģistrēts piederības statuss – rezerves zemes fonds, tomēr Nekustamā īpašuma īpašniece to noraidīja, norādot, ka viņu neinteresē nekustamais īpašums Brunavas pagastā, jo atrodas pārāk tālu no viņas šobrīd apsaimniekotajiem nekustamajiem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Satiksmes ministrijas 2023. gada 11. septembra vēstuli "Par informācijas sniegšanu" Sabiedrība tika informēta par ministrijas valdījumā esošajiem nekustamajiem īpašumiem, kuri varētu tikt potenciāli izmantojami kā atlīdzības kompensācijas veids, tomēr neviens no tiem nav Bauskas novadā. Mutiskajā komunikācija Nekustamā īpašuma īpašniece tika informēta par atsūtītajiem Satiksmes ministrijas valdījumā esošajiem nekustamajiem īpašumiem, tomēr Nekustamā īpašuma īpašniece norādīja, ka viņu interesē tikai nekustamie īpašumi Codes pagastā.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Civillikuma 2174.panta interpretāciju, jo anotācijā daļēji ir norādītas tiesiskās sekas, kādas iestājas atsavinot nekustamo īpašumu uz likuma pamata, proti, nekustamā īpašuma daļa pāries valsts īpašumā brīva no visiem apgrūtinājumiem un nastām, kuras nekustamajam īpašumam uzliktas saistību rezultātā un par kurām institūcija nav tieši paziņojusi, ka tā uzņemas attiecīgos apgrūtinājumus un nastas.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vērš uzmanību, ja īpašuma (tā daļa) tiek atsavināta, noslēdzot ar nekustamā īpašuma īpašnieku līgumu par nekustamā īpašuma labprātīgu atsavināšanu, tad piemērojami Civillikuma 2174.panta noteikumi, par to, ka ieguvējam (valstij) ir tiesības uzteikt tādu nomas līgumu, kas nav ierakstīts zemesgrāmatā. Nomas līguma uzteikšanas gadījumā, iznomātājam jāatlīdzina nomniekam visi zaudējumi, kādi viņam nodarīti ar līguma priekšlaicīgu izbeigšanu. Savukārt valstij, jādod nomniekam piemērots laiks nomas priekšmeta atdošanai.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tiek precizēta, vienlaikus sniedzam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sekojošais: "Atbilstoši Civillikuma 2174. pantam, atsavinot nomas priekšmetu, ieguvējam jāievēro nomas līgums tikai tad, ja tas ierakstīts zemes grāmatās (2126. p.). Konkrētajā situācijā valstij nav pamata pārņemt zemes nomas līguma saistības, jo šo saistību pārņemšana nav samērojama ar attiecīgo sabiedrības vajadzību nodrošināšanu, proti, Nekustamā īpašuma daļa pāries valsts īpašumā brīva no visiem apgrūtinājumiem un nastām, kuras Nekustamajam īpašumam bija uzliktas saistību rezultātā un par kurām institūcija nav tieši paziņojusi, ka tā uzņemas attiecīgos apgrūtinājumus un nastas."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Interpretējot Sabiedrības vajadzībām nepieciešamā nekustamā īpašuma atsavināšanas likuma 16. pantu kopsakarā ar 23. panta otrās daļas 3. punktu, kas noteic, ka nekustamais īpašums novērtējams, izvērtējot tā  apgrūtinājumus un nastas, kas tiks saglabātas saskaņā ar šā likuma 16. pantu, secināms, ka atsavināšanas procesā, neatkarīgi no tā, vai process tiek pabeigts labprātīgi uz līguma pamata, vai uz likuma pamata, institūcija vadās pēc pamatprincipa – īpašnieka uzņemtās saistības valsts nepārņem, izņemot likumā noteiktos gadījumus, t.i.,  saistības, par kurām institūcija pirms īpašuma novērtēšanas tieši paziņojusi, ka tā uzņemas attiecīgos apgrūtinājumus un nastas, kā arī nekustamā īpašuma bijušā īpašnieka noslēgtos dzīvojamās telpas īres līgumus, par kuriem institūcija ir bijusi informēta nekustamā īpašuma novērtēšanas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2174. pants nosaka: "Kad iznomātājs vai izīrētājs nomas vai īres priekšmetu atsavina, ieguvējam jāievēro nomas vai īres līgums tikai tad, ja tas ierakstīts zemes grāmatās (2126. p.). Ja ieguvējs uzteic līgumu, kas nav ierakstīts zemes grāmatās, tad iznomātājam vai izīrētājam jāatlīdzina nomniekam vai īrniekam visi zaudējumi, kādi viņam nodarīti ar līguma priekšlaicīgu izbeigšanu; ieguvējam tādā gadījumā jādod nomniekam vai īrniekam piemērots laiks īres vai nomas priekšmeta atdošanai".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normas mērķa un jēgas secināms, ka likumdevējs ir paredzējis ieguvēja tiesības izlemt par nomas saistības turpināšanu vai neturpināšanu, kas sabiedrības vajadzībām atsavināšanas procesā notiek jau atsavināšanas procesa sākumposmā pirms nekustamā īpašuma novērtēšanas. Tādējādi nekustamā īpašuma īpašniekam, ievērojot pienācīgu rūpību, jau savlaicīgi ir iespējas īstenot pasākumus, lai novērstu vai mazinātu iespējamo zaudējumu rašanos sakarā ar nomas līguma, kas nav ierakstīts zemesgrāmatā, saistību izbeigšanu (Civillikuma 1776.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pirkuma līguma noteikumu saskaņošanas procesā tiek panāktas vienošanās ar nekustamā īpašuma īpašniekiem gan par nekustamā īpašuma atbrīvošanas kārtību, gan par pārdevēja pienākumiem nepieciešamo darbību veikšanai saistību tiesību izbeigšanai vai pārgrozīšanai.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kā tas jau tika norādīts anotācijā, ka atbilstoši Civillikuma 2174. pantam, atsavinot nomas priekšmetu, ieguvējam jāievēro nomas līgums tikai tad, ja tas ierakstīts zemes grāmatās (2126.p.). Konkrētajā gadījumā nomas līgums nav ierakstīts zemes 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Nekustamā īpašuma īpašniece nav arī norādījusi, ka nomniekam būtu dodams laiks nomas līguma izbeigšanai vai grozīšanai daļā par nekustamā īpašuma atsavināmo daļu, lai, piemēram, novāktu ražu. Ja šāds lūgums no Nekustamā īpašuma īpašnieces tiks izteikts, Satiksmes ministrija (SIA "Eiropas dzelzceļa līnijas") to izvērtēs, slēdzot pirkuma līgumu, un, ja to pieļaus plānotie Rail Baltica būvdarbu uzsākšanas termiņi, pirkuma līgumā tiks noteikts termiņš nekustamā īpašuma daļas atbrīvošanai.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vēlamies vērst uzmanību, ka 2015. gada 2. novembra zvērināta advokāta biroja "BORENIUS" galaziņojumā "Taisnīgas atlīdzības noteikšana par nekustamajiem īpašumiem, kas nepieciešami un atsavināmi sabiedrības vajadzībām, un par zaudējumiem īpašumiem, kas ir netieši skarti un kam radušies saimnieciskās darbības ierobežojumi vai netiešie zaudējumi transporta infrastruktūras projekta īstenošanas rezultātā" (turpmāk – Galaziņojums) ir norādīts, ka Latvijas normatīvie akti neparedz skaidru regulējumu attiecībā uz to, vai īpašuma tiesību ierobežošanas gadījumā personai būtu atlīdzināmi zaudējumi, ko rada saistību neizpilde ar trešajām personām. Tomēr no tiesu prakses lietās par zaudējumu atlīdzināšanu sakarā ar administratīvo aktu atcelšanu var secināt, ka zaudējumi, kas personai rodas sakarā ar nespēju pildīt saistības ar trešajām personām, principā nav atlīdzināmi, jo neatrodas tiešā cēloņsakarībā ar valsts rīcību. Galaziņojumā secināts, ka Latvijas normatīvie akti neparedz pienākumu atlīdzināt zaudējumus, kas personai radušies tādēļ, ka valsts noteikto īpašuma tiesību ierobežojumu dēļ persona nevar pildīt līgumsaistības ar trešajām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24-TA-702</w:t>
    </w:r>
    <w:r>
      <w:br/>
    </w:r>
    <w:r w:rsidR="00000000" w:rsidRPr="00000000" w:rsidDel="00000000">
      <w:rPr>
        <w:rtl w:val="0"/>
      </w:rPr>
      <w:t xml:space="preserve">16.04.2024. 14.59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24-TA-702</w:t>
    </w:r>
    <w:r>
      <w:br/>
    </w:r>
    <w:r w:rsidR="00000000" w:rsidRPr="00000000" w:rsidDel="00000000">
      <w:rPr>
        <w:rtl w:val="0"/>
      </w:rPr>
      <w:t xml:space="preserve">16.04.2024. 14.59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Izziņa_24-TA-702.docx</dc:title>
</cp:coreProperties>
</file>

<file path=docProps/custom.xml><?xml version="1.0" encoding="utf-8"?>
<Properties xmlns="http://schemas.openxmlformats.org/officeDocument/2006/custom-properties" xmlns:vt="http://schemas.openxmlformats.org/officeDocument/2006/docPropsVTypes"/>
</file>