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nosacījumiem par avansa un maksājuma pieprasījumiem, to apmēru un ierobežojumiem, ņemot vērā anotācijā minēto, ka atvasinātām publiskām personām finansējums tiks plānots arī kā avansi.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kas nosaka nosacījumus par avansa un maksājuma pieprasījumiem, to apmēru un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sasniegtu projekta iesniegumā noteiktos mērķus, projekta iesniedzējs par sadarbības partneri var piesaistīt citu tiešās pārvaldes iestādi, valsts kapitālsabiedrību vai atvasinātu publisku personu, kas veic deleģēto pārvaldes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"īstenošanas noteikumiem" un to pavadošo anotāciju, VADDA iebilst pret noteikumu 16. punkta vispārīgo, plaši tulkojamo redakciju un aicina atbilstoši anotācijā aprakstītajam 16. punktu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sasniegtu projekta iesniegumā noteiktos mērķus, projekta iesniedzējs par sadarbības partneri var piesaistīt citu 13.1. apakšpunktā minēto projekta iesniedzēju tām deleģēto pārvaldes uzdevumu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plānoto projektu dažādo raksturu, sadarbības partneru loks no vienas puses ir plašs, tai pašā laikā arī ierobežots, kas paredz, ka kā sadarbības partneri projekta ietvaros var piesaistīt tikai citu tiešās pārvaldes iestādi, valsts kapitālsabiedrību vai atvasinātu publisku personu, pie nosacījuma, ja tas ir tai deleģēto pārvaldes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 Viedās administrācijas un reģionālās attīstības ministrijas ir priekšlikumus veselības nozares lietojuma gadījumos datu apmaiņai starp valsts pārvaldes reģistriem, izmantot Valsts digitālās attīstības aģentūras (VDAA) piedāvātos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 projekta ietvaros izveidojamo vai attīstāmo, pilnveidojamo informācijas un komunikācijas tehnoloģiju sistēmu ir saņemts pozitīvs Viedās administrācijas un reģionālās attīstības ministrijas kā valsts informācijas un komunikācijas tehnoloģiju pārvaldības organizācijas (turpmāk - valsts informācijas un komunikācijas tehnoloģiju pārvaldības organizācija) atzinums  (turpmāk - atzinums) atbilstoši normatīvajiem aktiem, kas nosaka informācijas sistēmu un to darbībai nepieciešamo informācijas un komunikācijas tehnoloģiju resursu un pakalpojumu attīstības aktivitāšu un likvidēšanas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potenciālie sadarbības partneri projekta ietvaros tiks vērtēti, gan izskatot projekta ietvaros izveidojamo vai attīstāmo, pilnveidojamo informācijas un komunikācijas tehnoloģiju sistēmu pieteikumus, gan vērtējot sniegto pamatojumu sadarbības partneru piesaistei projekta vērtēšanas procesā, kas var paredzēt, ka piesaistāmo sadarbības partneru loks ir plašāks nekā definēts noteikumu projekta 13.1.apakšpunktā.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sasniegtu projekta iesniegumā noteiktos mērķus,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projekta iesniedzējs par sadarbības partneri var piesaistīt citu tiešās pārvaldes iestādi, valsts kapitālsabiedrību vai atvasinātu publisku personu, kas veic deleģēto pārvaldes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ir norādīts, ka fiziskām personām tiks samazināts administratīvais slogs, lūdzu papildināt ietekmes aprakstu ar skaidrojumu par administratīvā sloga samazināšanu. Kā arī, saskaņā ar Ministru kabineta 2021. gada 7. septembra noteikumu Nr. 617 “Tiesību akta projekta sākotnējās ietekmes izvērtēšanas kārtība” (turpmāk - Noteikumi Nr. 617) 18.</w:t>
            </w:r>
            <w:r w:rsidR="00000000" w:rsidRPr="00000000" w:rsidDel="00000000">
              <w:rPr>
                <w:vertAlign w:val="superscript"/>
                <w:rtl w:val="0"/>
              </w:rPr>
              <w:t xml:space="preserve">2</w:t>
            </w:r>
            <w:r w:rsidR="00000000" w:rsidRPr="00000000" w:rsidDel="00000000">
              <w:rPr>
                <w:rtl w:val="0"/>
              </w:rPr>
              <w:t xml:space="preserve"> punktu, administratīvo izmaksu izvērtējums ir veicams, un aprēķina rezultāts iekļaujams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Noteikumu Nr. 617 15. un 16. punktu, lūdzu veikt administratīvo izmaksu samazinājuma novērtējumu fiziskām personām un aizpildīt anotācijas 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2.1. sadaļu, kur sniegts skaidrojums, ka šajā 4.1.1.4. pasākuma īstenošanas posmā nav iespējams noteikt konkrētu administratīvā sloga samazinājumu anotācijas 2.1. sadaļā minētajām mērķa grupām, jo plānoto projektu idejas nav vēl saskaņotas  ar VARAM kā valsts IKT pārvaldības organizāciju un uz projektu iesniegšanas brīdi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4.1.1.4. pasākuma ietvaros būs jāattīsta tādi digitāli risinājumi, kas nodrošinās efektīvāku valsts pakalpojumu sniegšanu un datu analīzi samazinot vai pat novēršot manuālo darbu. Plānots, ka finansējuma saņēmēji savas projekta idejas saskaņos ar VARAM kā valsts IKT pārvaldības organizāciju,  kurā tiks norādīta kopsavilkuma informācija par projektā plānotajiem ieguvumiem. Vienlaikus noteikumu projekts paredz (ja kopējais finansējuma apjoms pārsniedz 1 000 000 </w:t>
            </w:r>
            <w:r w:rsidR="00000000" w:rsidRPr="00000000" w:rsidDel="00000000">
              <w:rPr>
                <w:i w:val="1"/>
                <w:rtl w:val="0"/>
              </w:rPr>
              <w:t xml:space="preserve">euro</w:t>
            </w:r>
            <w:r w:rsidR="00000000" w:rsidRPr="00000000" w:rsidDel="00000000">
              <w:rPr>
                <w:rtl w:val="0"/>
              </w:rPr>
              <w:t xml:space="preserve">), ka projekta iesniedzējiem ir jāveic izmaksu un ieguvumu analīze, kas ietver arī administratīvā sloga samazinājuma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noteikumu projekta anotācijas 1.3. apakšpunktā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sniegto informāciju, ka projekta attiecināmajās izmaksās nav iekļaujamas projekta iesnieguma veidlapas aizpildīšanas izmaksas, tai skaitā informācijas ievadīšana Kohēzijas politikas vadības un informācijas sistēmā, lūdzu veikt administratīvo izmaksu monetāru novērtējumu un aizpildīt anotācijas 7.2. apakšpunktu, pamatojoties uz Ministru kabineta 2021. gada 7. septembra noteikumu Nr. 617 “Tiesību akta projekta sākotnējās ietekmes izvērtēšanas kārtība” 15.,16. un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7.2. sadaļu, kas papildināta ar administratīvo izmaksu monetāru novērtējumu, kas saistīta ar projekta iesnieguma veidlapas aizpildīšanas izmaksām, tai skaitā informācijas ievadīšana Kohēzijas politikas vadības un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norādīts, ka ar noteikumu projektu noteiktie institūciju pienākumi tiks veikti esošo finanšu un darbinieku kapacitātes ietvaros, nepalielinot kopējās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nosaukumu, ka Eiropas Savienības kohēzijas politikas programmas 2021. – 2027. gadam 4.1.1. specifiskā atbalsta mērķa "Nodrošināt vienlīdzīgu piekļuvi veselības aprūpei un stiprināt veselības sistēmu, tostarp primārās veselības aprūpes noturību" 4.1.1.4. pasākums "Veselības aprūpes pārvaldības sistēmas stiprināšana un digitalizācija, attīstot digitālos risinājumus" tiks īstenots divās kārtās. Attiecīgi lūdzam precizēt anotācijas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w:t>
            </w:r>
            <w:r w:rsidR="00000000" w:rsidRPr="00000000" w:rsidDel="00000000">
              <w:rPr>
                <w:u w:val="single"/>
                <w:rtl w:val="0"/>
              </w:rPr>
              <w:t xml:space="preserve">pirmās un otrās projektu iesniegumu atlases kārtas</w:t>
            </w:r>
            <w:r w:rsidR="00000000" w:rsidRPr="00000000" w:rsidDel="00000000">
              <w:rPr>
                <w:rtl w:val="0"/>
              </w:rPr>
              <w:t xml:space="preserve">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nosaukumā.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(VADDA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izsaka sekojošus priekšlikumus noteikumu papildināšanai,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par pienākumu projekta iesniedzējam paredzēt izveidojamo vai attīstāmo, pilnveidojamo informācijas un komunikācijas tehnoloģiju sistēmu, pirms nodošanas produkcijā, testēšanu reālajā vidē, tās funkcionalitāti, integritāti un darbību pārbaudīt ar ārstniecības iestāžu lokālajām informatīvajām sistēmām un šo sistēmu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par pienākumu, veidojot jaunas vai attīstot, pilnveidojot esošās sistēmas, projekta iesniedzējiem tās savstarpēji salāgot, lai nodrošinātu savstarpēju datu apmaiņu, neapgrūtinot datu radītājus ar vairākkārtēju vienu un to pašu datu nodošanu no ārstniecības iestāžu lokālajām sistēmām uz valsts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norādīts, ka pēc projekta beigām sistēmu uzturēšana jāparedz projekta iesniedzēju budžetos, aicinām tomēr precizēt  ar skaidrojumu, kā un par kādiem līdzekļiem notiks sistēmu turpmāka papildināšana, atjaunošana, izmaiņu veikšana: vai tas tiks nodrošināts ar projekta iesniedzēju personālresursiem vai tas tiks nodrošināts kā ārpakalpojums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anotācijā ir sniegts skaidrojums, ka projektu ietvaros, izstrādājot valsts informācijas sistēmas, platformas un e-pakalpojumus, ir jānodrošina atbilstība MK 2023. gada 4. jūlija noteikumiem Nr. 367 "Informācijas sistēmu vispārējās tehniskās prasības", MK 2015. gada 28. jūlija noteikumiem Nr. 442 "Kārtība, kādā tiek nodrošināta informācijas un komunikācijas tehnoloģiju sistēmu atbilstība minimālajām drošības prasībām", MK 2020. gada 14. jūlija noteikumiem Nr. 445 "Kārtība, kādā iestādes ievieto informāciju internetā", MK 2017. gada 4. jūlija noteikumiem Nr. 402 "Valsts pārvaldes e-pakalpojumu noteikumi" un MK 2017. gada 4. jūlija noteikumiem Nr. 399 "Valsts pārvaldes pakalpojumu uzskaites, kvalitātes kontroles un sniegšanas kārtība" un citiem horizontālajiem noteikumiem. Tāpat izstrādājot valsts informācijas sistēmas, platformas un e-pakalpojumus finansējuma saņēmējam un sadarbības partneriem ir jāievēro „European Interoperability Framework” Eiropas sadarbspējas satvara rekomendācijas un IKT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Minētā prasība ir ietverta noteikumu projekta 35.punktā, kas paredz, ka finansējuma saņēmēji un šo noteikumu 17.punktā minētie sadarbības partneri nodrošina, ka projekta pabeigšanas brīdī projekta ietvaros izveidotā vai attīstītā informācijas sistēma vai izveidotais vai pilnveidotais elektroniskais pakalpojums ir ieviests produktīvajā darbībā atbilstoši apstiprinātajam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finansējuma saņēmēji ir tiešās valsts pārvaldes iestādes, valsts kapitālsabiedrības vai atvasinātas publiskas personas, kas veic deleģēto pārvaldes uzdevumu, tad finansējumu izstrādāto valsts informācijas un komunikācijas tehnoloģiju risinājumu un pakalpojumu tālākai uzturēšanai, tās plāno iestādes budžeta ietvaros vai sedz no tām piešķirtās valsts dotācijas deleģēto pārvaldes funkciju īstenošanai. Katra iestāde, izvērtējot gan pieejamo finanšu līdzekļus, gan ievērojot saimnieciskā izdevīguma principu, izvēlēsies sev labāko pieejamo risinājumu tālākai izstrādāto valsts informācijas un komunikācijas tehnoloģiju risinājumu un pakalpojumu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projekta rezultātu uzturēšanai pieprasot: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2023. gada 17.janvāra noteikumu Nr.15 “Kārtība, kādā nosakāms maksimāli pieļaujamais valsts budžeta izdevumu kopapjoms un maksimāli pieļaujamais valsts budžeta izdevumu kopējais apjoms katrai ministrijai un citām centrālajām valsts iestādēm vidējam termiņam” (turpmāk - noteikumi Nr.15) 9.4. apakšpunktu,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2018. gada 17. jūlija noteikumiem Nr. 421 “Kārtība, kādā veic gadskārtējā valsts budžeta likumā noteiktās apropriācijas izmaiņas”, ja finansējums attiecīgajā gadā nepieciešams pirms tiek precizētas izmaiņas izdevumos pabeigto Eiropas Savienības politiku instrumentu un pārējās ārvalstu finanšu palīdzības līdzfinansēto projektu uzturēšanai atbilstoši noteikumiem Nr.15.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1.punktu ar jaunu apakšpunktu "1.6. vienkāršoto izmaksu piemērošanas nosacījumus un kārtību", ņemot vērā, ka noteikumu projekts paredz vienkāršoto izmaksu nosacījumus, un noteikumu projekts tiek izdots, pamatojoties arī uz Eiropas Savienības fondu 2021.—2027. gada plānošanas perioda vadības likuma 19.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projektu iesniedzēji, kas pēc sadarbības iestādes lēmuma par projekta iesnieguma apstiprināšanu kļūst par finansējuma saņēmējiem, un tiem pieejamais maksimālais attiecināmo izmaksu apmērs, lai slēgtu vienošanos par projekta īstenošanu,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18.panta pirmās daļas 1.punkts paredz, ja finansējuma saņēmējs ir fiziskā vai juridiskā persona, tam ir pienākums nodrošināt projekta īstenošanu saskaņā ar Eiropas Savienības un Latvijas Republikas normatīvajiem aktiem un </w:t>
            </w:r>
            <w:r w:rsidR="00000000" w:rsidRPr="00000000" w:rsidDel="00000000">
              <w:rPr>
                <w:u w:val="single"/>
                <w:rtl w:val="0"/>
              </w:rPr>
              <w:t xml:space="preserve">līgumu par projekta īstenošanu.</w:t>
            </w:r>
            <w:r w:rsidR="00000000" w:rsidRPr="00000000" w:rsidDel="00000000">
              <w:rPr>
                <w:rtl w:val="0"/>
              </w:rPr>
              <w:t xml:space="preserve"> Ņemot vērā atsevišķa projekta iesniedzēja juridisko statusu (t.i., kapitālsabiedrība), lūdzam papildināt noteikumu projekta 13.punktu pēc vārdiem "lai slēgtu" ar vārdiem "līgumu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13.punktā.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projektu iesniedzēji, kas pēc sadarbības iestādes lēmuma par projekta iesnieguma apstiprināšanu kļūst par finansējuma saņēmējiem, un tiem pieejamais maksimālais attiecināmo izmaksu apmērs, lai slēgtu līgumu un vienošanos par projekta īstenošanu,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sasniegtu projekta iesniegumā noteiktos mērķus, projekta iesniedzējs par sadarbības partneri var piesaistīt citu tiešās pārvaldes iestādi, valsts kapitālsabiedrību vai atvasinātu publisku personu, kas veic deleģēto pārvaldes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normai ir jābūt skaidrai un nepārprotamai, lūdzam  precizēt noteikumu projekta 16.punktu, kā piemēram minētajā punktā ietvert atsauci uz noteikumu projekta 13.punktā noteiktajiem projekta iesniedzējiem, kas projekta ietvaros nebūs sadarbību partneri, pretējā gadījumā rodas interpretācijas problēmas ar tiesību normā ietvertā vārda "citu"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16.punktā.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sasniegtu projekta iesniegumā noteiktos mērķus,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projekta iesniedzējs par sadarbības partneri var piesaistīt citu tiešās pārvaldes iestādi, valsts kapitālsabiedrību vai atvasinātu publisku personu, kas veic deleģēto pārvaldes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sadarbības iestāde to ir uzaicinājusi iesniegt projekta iesniegumu atbilstoši projektu iesniegumu atlases nolikuma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Nr.108 "Normatīvo aktu projektu sagatavošanas noteikumi" 3.punkts paredz,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noteikumu projekta 18.1. apakšpunkta lietderību, jo minētais punkts dublē Ministru kabineta 2023.gada 13. jūlija noteikumi Nr.408 “Kārtība, kādā Eiropas Savienības fondu vadībā iesaistītās institūcijas nodrošina šo fondu ieviešanu 2021.–2027. gada plānošanas periodā” 15.2. apakšpunktā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atbalstāt svītrot noteikumu projekta 18.1.apakšpunktu, lūdzam attiecīgi precizēt arī noteikumu projekta 19.3. apakšpunktu, neveidojot atsauci uz noteikumu projekta 18.1.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projekta 18.1.apakšpunkts, un precizēts noteikumu projekta 19.1. un 19.3.apakšpunkts.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iesniegumu atlase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minētajiem projekta iesniedzējiem tiek organizēta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informācijas apriti un ātrāku projektu iesniegumu virzību, nezaudējot divas nedēļas informācijas pārsūtīšanā, aicinām paredzēt, ka Viedās administrācijas un reģionālās attīstības ministrija atzinumu uzreiz adresē arī atbildīgajai iestādei un sadarbības iestādei. Balstoties uz saņemto atzinumu, sadarbības iestādei uzaicina projekta iesniedzēju iesniegt projekta iesniegumu.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sarunas ar Viedās administrācijas un reģionālās attīstības ministrijas kā valsts informācijas un komunikācijas tehnoloģiju pārvaldības organizācijas (turpmāk-organizācija) pārstāvi tika norādīts, ka organizācijas pienākums nav sekot līdzi, kuras institūcijas nodrošinās nepieciešamo finansējumu projekta ietvaros izveidojamajai vai attīstāmajai informācijas un komunikācijas tehnoloģiju sistēmai, līdz ar to organizācija nevar uzņemties šādu atbildību. Organizācija atbalsta noteikumu projektā paredzēto kārtību, ka potenciālais finansējuma saņēmējs pats informē iesaistītās puses par pozitīva atzinuma saņemšanu no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Veselības ministrija uzskata, ka projekta iesniedzējs ir  ieinteresēts pēc iespējas ātrāk informēt iesaistītās puses par pozitīva atzinuma saņemšanu, lai pēc iespējas ātrāk varētu uzsākt informācijas un komunikācijas tehnoloģiju sistēmu attīstības vai izveides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iesniegumu atlase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minētajiem projekta iesniedzējiem tiek organizēta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projekta iesniedzējs un sadarbības partneri (ja attiecināms) paraksta interešu konflikta neesības apliecinājumu, ievērojot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lūdzam noteikumu projekta  20.punktā precizēt regulas atsauci, norādot atsauci uz Regulu 2024/2509. Saskaņā ar Regulas 2024/2509 279. pantu atsauces uz atcelto Regulu 2018/1046 uzskata par atsaucēm uz Regulu 2024/2509, un tās lasa saskaņā ar atbilstības tabulu Regulas 2024/2509 II pielikumā. Vienlaikus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noteikumu projektā un anotācijā aizstājot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ar Eiropas Parlamenta un Padomes 2024. gada 23. septembra Regulu (ES, Euratom) 2024/2509 par finanšu noteikumiem, ko piemēro Savienības vispārējam budžetam (pārstrādāta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projekta iesniedzējs un sadarbības partneri (ja attiecināms) paraksta interešu konflikta neesības apliecinājumu, ievērojot Eiropas Parlamenta un Padomes 2024. gada 23. septembra Regulas (ES, Euratom) 2024/2509 par finanšu noteikumiem, ko piemēro Savienības vispārējam budžetam (pārstrādāta redakcija), 61. pantā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veselības nozares datu digitalizācija un apmaiņa, attīstot veselības nozares valsts informācijas sistēmas un platformas, tai skaitā, uz lietotāju orientētas jaunas funkcionalitātes, lai veicinātu veselības datu pieejamību efektīvākai veselības nozares pakalpojumu sniegšanai un saņemšanai;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tas ir iespējams konkrētajos veselības nozares lietojuma gadījumos datu apmaiņai starp valsts pārvaldes reģistriem, lūdzam izmantot Valsts digitālās attīstības aģentūras (VDAA) piedāvātos koplietošanas risinājumus, piemēram, DAGR platformu (alfanumeric). Vēršam uzmanību, ka VDAA patstāvīgi strādā pie DAGR risinājuma pilnveides un esam atvērti arī pielāgojumu veikšanai platformā, lai atbalstītu jaunus lietojumu gadījumus dažādās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koplietošanas risinājumu attīstību Latvijā, aicinām Veselības ministriju un tās padotības iestādes arī citu projektu attīstības ietvaros izvērtēt iespēju izmantot VDAA piedāvātos koplietošanas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veselības nozares datu digitalizācija un apmaiņa, attīstot veselības nozares valsts informācijas sistēmas un platformas, tai skaitā, uz lietotāju orientētas jaunas funkcionalitātes, lai veicinātu veselības datu pieejamību efektīvākai veselības nozares pakalpojumu sniegšanai un saņemšanai;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pakalpojumu digitālās infrastruktūras pilnveidošana, pielāgojot to pārrobežu pakalpojumu sniegšanai atbilstoši vienotās digitālās vārtejas prasībām, kā arī digitālo pakalpojumu pieejamības uzlabojumi;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22.6. apakšpunktu ar atsauci, kur noteiktas vienotās digitālās vārtejas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 un anotācijas 5.sadaļā.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pakalpojumu digitālās infrastruktūras pilnveidošana, pielāgojot to pārrobežu pakalpojumu sniegšanai atbilstoši vienotās digitālās vārtejas prasībām atbilstoši Eiropas Parlamenta un Padomes 2018. gada 2. oktobra Regulai (ES) Nr. 2018/1724, </w:t>
            </w:r>
            <w:r w:rsidR="00000000" w:rsidRPr="00000000" w:rsidDel="00000000">
              <w:rPr>
                <w:i w:val="1"/>
                <w:rtl w:val="0"/>
              </w:rPr>
              <w:t xml:space="preserve">ar ko izveido vienotu digitālo vārteju, lai sniegtu piekļuvi informācijai, procedūrām un palīdzības un problēmu risināšanas pakalpojumiem, un ar ko groza Regulu (ES) Nr. 1024/2012</w:t>
            </w:r>
            <w:r w:rsidR="00000000" w:rsidRPr="00000000" w:rsidDel="00000000">
              <w:rPr>
                <w:rtl w:val="0"/>
              </w:rPr>
              <w:t xml:space="preserve">, kā arī digitālo pakalpojumu pieejamības uzlabojumi;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projektos izstrādāto valsts informācijas un komunikācijas tehnoloģiju risinājumu un pakalpojumu tālākai uzturēšanai finansējumu plānots segt iestādes budžeta ietvaros vai piešķirtās valsts dotācijas deleģēto pārvaldes funkciju īstenošanai, lai novērstu dubultfinansējuma risku, lūdzam izvērtēt iespēju precizēt noteikumu projekta 24.5.2. un 24.7.3.apakšpunktu redakciju, aizstājot vārdus "kas nepārsniedz piecus gadus" ar vārdiem "kas nepārsniedz projekta īstenošanas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24.5.2. un 24.7.3. apakšpunktu redakcijās.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24.3.apakšpunkts paredz projekta ietvaros izstrādātās vai pilnveidojamās informācijas sistēmas audita, drošības pārbaužu izmaksas. Lai netiktu dublētas izmaksas, aicinām pārskatīt 24.3.apakšpunkta redakciju, ņemot vēra, ka informācijas sistēmas izstrādes vai iegādes un ieviešanas kvalitātes kontroles izmaksas, tai skaitā testēšanas izmaksas un drošības un veiktspējas auditu izmaksas iekļautas noteikumu 24.5.7.apakšpunktā.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24.2.-24.4. apakšpunktos ir definētas darbības, ar kuru palīdzību projekta īstenotājs nonāk līdz iepirkuma prasībām. Tai skaitā īstenojot noteikumu projekta 24.3.apakšpunktā minētā  audita rezultātā tiek iegūts esošās informācijas sistēmas novērtējums, kā arī ieteikumi informācijas sistēmas pilnveidei, kas tiek iestrādāti iepirkuma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noteikumu projekta 24.5.7.apakšpunkts attiecas uz  iepirkuma rezultātā saņemtā gala rezultātu pārbaudi, lai secinātu, vai veiktie uzlabojumi atbilsts iepirkuma nosacījumiem un ir veikti atbilstoši, noteikumu projekta 24.3. apakšpunktā minētā audita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iesnieguma veidlapas aizpildīšanas izmaksas noteikumos nav paredzētas kā attiecināmās izmaksas projektā un ņemot vērā ES fondu 2014.-2020.gada plānošanas perioda IKT projektu pieredzi, nepārprotamai izpratnei lūdzam izteikt 24.2.apakšpunktu šādā redakcijā: “24.2.projekta pamatojošās dokumentācijas sagatavošanas izmaksas, tai skaitā izmaksu un ieguvumu analīzes sagatavošanas izmaksas (izņemot projekta iesnieguma veidlapas aizpildīšanas izmaksas);”. Ņemot vērā minēto priekšlikumu, lūdzam attiecīgi precizēt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24.2. un 25.3. apakšpunktā un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atbalstāmo darbību ietvaros ir attiecināmas šādas projekta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datu importa vai migrācijas veikšanas izmaksas (tai skaitā datu semantiskās un tehniskās savietojamības nodrošināšanas izmaksas, datu strukturēšanas un datu bagātināšanas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24.5.3.apakšpunkts ietver, t.sk. datu strukturēšanas un bagātināšanas izmaksas, vienlaikus noteikumu projekta 24.5.5.apakšpunkts ietver izmaksas datu kvalitātes uzlabojumiem – lūdzam izvērtēt, vai šīs izmaksu pozīcijas saturiski nedublējas, un novērst dublēšanos vai anotācijā skaidrot atšķirību, lai to vēlāk iespējams korekti piemērot projektu iesniegumu atlases nolikumā un iesniegumos.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24.5.3. apakšpunktā ir iekļautas izmaksas, kas ir tieši saistītas ar datu importa vai migrācijas veikšanu, kur process ir orientēts uz datu pārvietošanu no vienas sistēmas uz citu vai datu ievadi jaunā vidē. Galvenais mērķis ir nodrošināt, ka dati tiek veiksmīgi pārnesti un integrēti jaunajā sistēmā, saglabājot to tehnisko un semantisko savietojamību. Paredzētās datu strukturēšanas un bagātināšanas izmaksām ir saistītas ar pareizu datu formatēšanu un transformēšanu. Datu importa vai migrācijas veikšanas process ir parasti vienreizējs vai notiek lielu pārmaiņu vai sistēmu maiņas laikā. Tas ir vairāk vērsts uz sākotnējo datu pārnešanu un strukturēšanu. Izmaksas ietver ne tikai pašus tehniskos aspektus, bet arī nepieciešamību pārstrukturēt datus, pārbaudīt un nodrošināt, ka tie darbojas jaunajā sistēmā. Šeit var iekļaut arī datu bagātināšanu (piemēram, trūkstošas informācijas pievienošanu).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noteikumu projekta 24.5.5.apakšpunktā minētais datu kvalitātes audits vērsts uz datu kvalitātes pārbaudi, kura mērķis ir identificēt esošos datu kvalitātes trūkumus un uzlabot tos, lai dati būtu precīzi, pilnīgi un atbilstu noteiktajiem kvalitātes standartiem. Audita ietvaros fokuss ir uz esošo datu precizitātes, pilnīguma, konsekvences un aktualitātes novērtēšanu, kā arī uz uzlabojumu veikšanu atbilstoši audita rezultātiem, ja tādi nepieciešami. Audits ir periodisks process, kas var notikt atkārtoti, lai nodrošinātu datu kvalitāti visā projekta dzīves ciklā. Tam ir arī ilgtermiņa datu uzraudzības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pozīcijas ietvaros izmaksas ir vairāk saistītas ar audita veikšanu, problēmu identificēšanu un pēc tam nepieciešamo uzlabojumu ieviešanu. Tas ietver korekcijas, lai uzlabotu datu kvalitāti pēc audita, piemēram, datu attīrīšanu vai datu kvalitātes uzraudzības sistēmu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kvalitāte un savietojamība ir viens no būtiskākajiem izaicinājumiem Latvijas digitālās transformācijas sektorā, vairākās risinājumu īstenošanas un attīstības fāzēs var  rasties nepieciešamība veikt pielāgojumus, lai nodrošinātu starp sistēmu procesu darbību, šādas problēmsituācijas var rasties neplānotā kārtā, kā rezultātā to risināšanai  nevarēs izmantot horizontālos risinājumus, kas tiek lietoti lai nodrošinātu datu kvalitāti valstiskā mērogā. Papildus iepriekš minētajam norādām, ka VARAM, kā atbildīgā nozares ministrija datu pārvaldības politikas jomā, šajā investīciju periodā plāno īstenot valsts mēroga horizontālus pasākumus, lai izveidotu valsts pārvaldes biznesa datu modeli un metadatu standartu, tādējādi samazinot risku, ka nākotnē būs nepieciešami semantiski pielāgojumi datiem, lai nodrošinātu starp institūciju sadarbību datu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datu importa vai migrācijas veikšanas izmaksas (tai skaitā datu semantiskās un tehniskās savietojamības nodrošināšanas izmaksas, datu strukturēšanas un datu bagātināšanas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vadības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vadības personāla izmaksas 4.1.1.4. pasākuma 2. kārtā ir plānots attiecināt kā faktiskās izmaksas, aicinām papildināt redakciju atbilstoši attiecināmības vadlīnijām "Vadlīnijas attiecināmo izmaksu noteikšanai Eiropas Savienības kohēzijas politikas programmas 2021.-2027. gada plānošanas periodā" 7.29. apakšpunktam, kas paredz, ka ERAF, KF, TPF līdzfinansētajiem projektiem, kur tiešās attiecināmās izmaksas ir līdz 5 miljoniem EUR (ieskaitot), projekta vadības personāla izmaksu ierobežojums tiek aprēķināts pie minimālo izmaksu bāzes 34 422 EUR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25.punktā, kā arī noteikumu projekts papildināts ar jaunu 26.punktu. Veikti atbilstoši precizējumi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vadības personāla izmaksas, kur izmaksu apmērs nepārsniedz ierobežojumu, ko aprēķina ar minimālo izmaksu bāzi 34 422 euro kalendāra gadā, pieskaitot 0,64 % no projekta tiešajām attiecināmajām izmaksām, bet neieskaitot tiešās projekta vadības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izmaksas ir attiecināmas, ja tās atbilst šajos noteikumos minētajām izmaksu pozīcijām un ir radušās ne agrāk par 2023. gada 15. augustu. Projekta iesniegumā neiekļauj un finansējumu nepiešķir darbībām, kas pabeigtas pirms projekta iesnieguma iesniegšanas sadarbības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29.punkta nosacījums izriet no Regulas 2021/1060, vēršam uzmanību, ka saskaņā ar Eiropas Komisijas skaidrojumiem regulā norādītais "pabeigta darbība" interpretējams kā pabeigts projekts kopumā nevis atsevišķa darbība tā ietvaros. Attiecīgi projektu savlaicīgas virzības un N+3 mērķu izpildes nolūkos aicinām precizēt punkta redakciju, nosakot, ka </w:t>
            </w:r>
            <w:r w:rsidR="00000000" w:rsidRPr="00000000" w:rsidDel="00000000">
              <w:rPr>
                <w:u w:val="single"/>
                <w:rtl w:val="0"/>
              </w:rPr>
              <w:t xml:space="preserve">projekts</w:t>
            </w:r>
            <w:r w:rsidR="00000000" w:rsidRPr="00000000" w:rsidDel="00000000">
              <w:rPr>
                <w:rtl w:val="0"/>
              </w:rPr>
              <w:t xml:space="preserve"> nevar būt pabeigts.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interpretējama tādējādi, ka neviena darbība nedrīkst būt pabeigta, kas papildus rada pretrunu ar atsevišķu attiecināmo izmaksu saturu, piemēram, projekta pamatojošās dokumentācijas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30.punktā un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izmaksas ir attiecināmas, ja tās atbilst šajos noteikumos minētajām izmaksu pozīcijām un ir radušās ne agrāk par 2023. gada 15. augustu. Projekts nedrīkst būt pabeigts pirms projekta iesnieguma iesniegšanas sadarbības iestādē.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 digitālo pakalpojumu vai informācijas sistēmu vai to funkcionalitāšu skaitu, kur ir veikta informācijas pielāgošana specifisko lietotāju grupām (personām ar redzes, dzirdes un garīga rakstura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rādītāja redakciju ar aktuālajās Labklājības ministrijas vadlīnijās norādīto: "Digitālo pakalpojumu </w:t>
            </w:r>
            <w:r w:rsidR="00000000" w:rsidRPr="00000000" w:rsidDel="00000000">
              <w:rPr>
                <w:u w:val="single"/>
                <w:rtl w:val="0"/>
              </w:rPr>
              <w:t xml:space="preserve">vai programmu</w:t>
            </w:r>
            <w:r w:rsidR="00000000" w:rsidRPr="00000000" w:rsidDel="00000000">
              <w:rPr>
                <w:rtl w:val="0"/>
              </w:rPr>
              <w:t xml:space="preserve"> skaits, kur ir veikta informācijas pielāgošana specifisko lietotāju grupām (personām ar redzes, dzirdes un garīga rakstura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vai programmu skaits, kur ir veikta informācijas pielāgošana specifisko lietotāju grupām (personām ar redzes, dzirdes un garīga rakstura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32.2.2.apakšpunktā.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digitālo pakalpojumu vai programmu skaits, kur ir veikta informācijas pielāgošana specifisko lietotāju grupām (personām ar redzes, dzirdes un garīga rakstura traucējumiem);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nodrošina dubultā finansējuma neiestāšanos un nodrošina, ka projektā plānotie darbi netiek finansēti vai līdzfinansēti, kā arī tos nav plānots finansēt vai līdzfinansēt no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31.5. apakšpunktu vai  noteikumu projekta 31.punktu ar jaunu apakšpunktu paredzot, ka finansējuma saņēmējs uzņemas arī segt sadārdzinājumu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32.punktā papildināts ar jaunu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nodrošina dubultā finansējuma neiestāšanos un nodrošina, ka projektā plānotie darbi netiek finansēti vai līdzfinansēti, kā arī tos nav plānots finansēt vai līdzfinansēt no citiem valsts un ārvalstu finanšu atbalsta instrumentiem.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Sadarbības iestāde, ja tai ir pieejami valsts budžeta līdzekļi, pēc plānotā avansa apmēra un tā pamatojuma izvērtēšanas, pamatojoties uz šo noteikumu </w:t>
            </w:r>
            <w:r w:rsidR="00000000" w:rsidRPr="00000000" w:rsidDel="00000000">
              <w:rPr>
                <w:rtl w:val="0"/>
              </w:rPr>
              <w:t xml:space="preserve">13.1.1.</w:t>
            </w:r>
            <w:r w:rsidR="00000000" w:rsidRPr="00000000" w:rsidDel="00000000">
              <w:rPr>
                <w:rtl w:val="0"/>
              </w:rPr>
              <w:t xml:space="preserve"> ,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minētā finansējuma saņēmēja rakstisku avansa pieprasījumu, var piešķirt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minētam finansējuma saņēmējam avansu pēc tam, kad ir noslēgts līgums par projekta īstenošanu.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minētais finansējuma saņēmējs avansa pieprasījumu sagatavo un sadarbības iestāde to apstiprina, ņemot vērā nosacījumu, ka plānotā avansa apmērs atbilst spējai to izlietot sešu mēnešu laikā saimnieciskā gada ietvaros.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minētajam finansējuma saņēmējam avansu var piešķirt līdz 30 procentiem no projektam piešķirtā Eiropas Reģionālās attīstības fonda finansējuma un valsts budžeta līdzfinansējuma kopsummas, ievērojot, ka avansu var izmaksāt vairākos maksājumos un avansa un starpposma maksājumu kopsumma nepārsniedz 100 procentus no projektam piešķirtā Eiropas Reģionālās attīstības fonda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25. aprīļa noteikumu Nr. 205 "Valsts budžeta līdzekļu plānošanas kārtība Eiropas Savienības fondu projektu īstenošanai un maksājumu veikšanai 2021.–2027. gada plānošanas periodā" (turpmāk - MK noteikumi Nr.205) 17.punktam, ja</w:t>
            </w:r>
            <w:r w:rsidR="00000000" w:rsidRPr="00000000" w:rsidDel="00000000">
              <w:rPr>
                <w:b w:val="1"/>
                <w:rtl w:val="0"/>
              </w:rPr>
              <w:t xml:space="preserve"> </w:t>
            </w:r>
            <w:r w:rsidR="00000000" w:rsidRPr="00000000" w:rsidDel="00000000">
              <w:rPr>
                <w:u w:val="single"/>
                <w:rtl w:val="0"/>
              </w:rPr>
              <w:t xml:space="preserve">finansējuma saņēmējs ir no valsts budžeta daļēji finansēta atvasināta publiska persona (izņemot plānošanas reģionus), budžeta nefinansēta iestāde, valsts kapitālsabiedrība, nodibinājums vai biedrība, kura projekta ietvaros avansa un starpposma maksājumu kopsummu izmanto tai deleģētā valsts pārvaldes uzdevuma īstenošanai,</w:t>
            </w:r>
            <w:r w:rsidR="00000000" w:rsidRPr="00000000" w:rsidDel="00000000">
              <w:rPr>
                <w:rtl w:val="0"/>
              </w:rPr>
              <w:t xml:space="preserve"> tad avansa un starpposma maksājuma kopsumma var būt 100 % no projektam piešķirtā Eiropas Savienības fonda finansējuma un, ja tas ir paredzēts projektā, valsts budžeta līdzfinansējuma kopsummas, ja šāda avansa un starpposma maksājumu kopsumma ir paredzēta normatīvajā aktā par specifiskā atbalsta mērķa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finansējuma saņēmējs atbilst MK noteikumi Nr.205 noteikumu 17.punktā noteiktajam finansējuma saņēmēju juridiskajam statusam un projekta ietvaros avansa un starpposma maksājumu kopsummu izmanto tam deleģētā valsts pārvaldes uzdevuma īstenošanai, un Ministru kabineta noteikumos par specifiskā atbalsta mērķa īstenošanu tiek noteikts minētajā punktā noteiktais avansa un starpposma maksājuma kopsummas apjoms, tad anotācijā ir īpaši jāpamato šāda avansa un starpposma maksājuma kopsummas apmēra nepieciešamība (skat. Ministru kabineta 2023. gada 25. aprīļa sēdes protokollēmumu (prot. Nr. 22 25. § 3. punkts)), tādējādi lūdzam papildināt noteikumu projekta anotāciju ar attiecīgo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uz 33. punktā minētajiem finansējuma saņēmējiem būtu attiecināms nosacījums par avansa izlietošanu saimnieciskā gada ietvaros, ņemot vērā Vadlīniju "Vadlīnijas Ministru kabineta noteikumu par specifiskā atbalsta mērķa īstenošanu izstrādei Eiropas Savienības fondu 2021.—2027. gada plānošanas periodā" 39. punktā noteikto, ka, ja finansējuma saņēmējs ir pašvaldība, MK noteikumos ietver nosacījumu, ka FS avansa pieprasījumu sagatavo, un SI avansa pieprasījumu apstiprina, ņemot vērā nosacījumu, ka plānotā avansa apmērs, tā pamatojums atbilst spējai to izlietot saimnieciskā gada ietvaros (piemēram, sešu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ņemot vērā projekta iesniedzēju juridisko statusu, kam plānots piešķirt avansus, lūdzam papildināt 33.punkta pirmo teikumu aiz vārdiem "ir noslēgts līgums" ar vārdiem "vai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33.punktā, kā arī veikti papildinājumi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Sadarbības iestāde, ja tai ir pieejami valsts budžeta līdzekļi, pēc plānotā avansa apmēra un tā pamatojuma izvērtēšanas, pamatojoties uz šo noteikumu </w:t>
            </w:r>
            <w:r w:rsidR="00000000" w:rsidRPr="00000000" w:rsidDel="00000000">
              <w:rPr>
                <w:rtl w:val="0"/>
              </w:rPr>
              <w:t xml:space="preserve">13.1.1.</w:t>
            </w:r>
            <w:r w:rsidR="00000000" w:rsidRPr="00000000" w:rsidDel="00000000">
              <w:rPr>
                <w:rtl w:val="0"/>
              </w:rPr>
              <w:t xml:space="preserve"> ,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minētā finansējuma saņēmēja rakstisku avansa pieprasījumu, var piešķirt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minētam finansējuma saņēmējam avansu pēc tam, kad ir noslēgts līgums vai vienošanās par projekta īstenošanu.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minētais finansējuma saņēmējs avansa pieprasījumu sagatavo un sadarbības iestāde to apstiprina, ņemot vērā nosacījumu, ka plānotā avansa apmērs atbilst spējai to izlietot sešu mēnešu laikā.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minētajam finansējuma saņēmējam avansu var piešķirt līdz 30 procentiem no projektam piešķirtā Eiropas Reģionālās attīstības fonda finansējuma un valsts budžeta līdzfinansējuma kopsummas, ievērojot, ka avansu var izmaksāt vairākos maksājumos un avansa un starpposma maksājumu kopsumma nepārsniedz 100 procentus no projektam piešķirtā Eiropas Reģionālās attīstības fonda un valsts budžeta līdzfinansējuma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minētie finansējuma saņēmēji un to sadarbības partneri (ja attiecināms) nodrošina projekta rezultātu ilgtspēju, tai skaitā projekta ietvaros izveidoto un ieviesto informācijas un komunikācijas tehnoloģiju risinājumu darbību vismaz piecus gadus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normai ir jābūt skaidrai un nepārprotamai.</w:t>
            </w:r>
            <w:r w:rsidR="00000000" w:rsidRPr="00000000" w:rsidDel="00000000">
              <w:rPr>
                <w:rtl w:val="0"/>
              </w:rPr>
              <w:t xml:space="preserve"> Lūdzam izvērtēt iespēju precizēt noteikumu projekta 32.punktu svītrojot atsauci uz noteikumu 13.1. apakšpunktu  vai skaidrot par projekta rezultāta ilgtspējas nodrošināšanu attiecībā uz noteikumu projekta 13.2.apakšpunktā noteikto projekta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tiesību norma ir veidota skaidra, paredzot, ka ilgtspējas nosacījumi attiecas tikai uz tiem projektiem, kuru ietvaros tiks izveidoti un ieviesti informācijas un komunikācijas tehnoloģiju risinājumi, kas ir 4.1.1.4.pasākuma pirmās kārtas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netiks izveidoti un ieviesti informācijas un komunikācijas tehnoloģiju risinājumi, bet gan tiks nodrošināta veselības aprūpes jomas informācijas un komunikāciju tehnoloģiju arhitektūras izstrādes un pārvaldība un citas atbalsta un uzraudzības darbības, kas netiks turpinātas pēc projekta beigām, bet, ko nodrošinās Sabiedrība ar ierobežotu atbildību "Latvijas Digitālās veselības centrs" savu deleģēto funkciju ietvaros. Līdz ar to apzināti ilgtspējas nosacījumi nav attiecināti uz 4.1.1.4.pasākuma otrās kārtas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minētie finansējuma saņēmēji un to sadarbības partneri (ja attiecināms) nodrošina projekta rezultātu ilgtspēju, tai skaitā projekta ietvaros izveidoto un ieviesto informācijas un komunikācijas tehnoloģiju risinājumu darbību vismaz piecus gadus pēc noslēguma maksājuma veikšanas.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Informācijas sistēmas izstrādātājs saņem no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minēto finansējuma saņēmēju noslēguma maksājumu, kas nevar būt mazāks par 20 procentiem no informācijas sistēmas vai tās izmaiņu izstrādes līgumcenas, tikai pēc tam, kad ir parakstīts nodošanas un pieņemšanas akts par informācijas un komunikācijas tehnoloģiju risinājuma vai tā izmaiņu izstrādi un ieviešanu un finansējuma saņēmējs ir pārliecinājies, ka izstrādātā informācijas sistēma, platforma vai elektroniskais pakalpojums atbilst iepirkuma līgumā ietvertajiem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izstrādātājam izmaksājamais noslēguma maksājums potenciāli aprēķināms ne tikai no i</w:t>
            </w:r>
            <w:r w:rsidR="00000000" w:rsidRPr="00000000" w:rsidDel="00000000">
              <w:rPr>
                <w:u w:val="single"/>
                <w:rtl w:val="0"/>
              </w:rPr>
              <w:t xml:space="preserve">nformācijas sistēmas vai tās izmaiņu</w:t>
            </w:r>
            <w:r w:rsidR="00000000" w:rsidRPr="00000000" w:rsidDel="00000000">
              <w:rPr>
                <w:rtl w:val="0"/>
              </w:rPr>
              <w:t xml:space="preserve"> izstrādes līgumcenas, bet atbilstoši attiecināmo izmaksu, 34.punkta saturam attiecībā uz nodošanas un pieņemšanas aktu un 35.punkta saturam - informācijas sistēmas, </w:t>
            </w:r>
            <w:r w:rsidR="00000000" w:rsidRPr="00000000" w:rsidDel="00000000">
              <w:rPr>
                <w:u w:val="single"/>
                <w:rtl w:val="0"/>
              </w:rPr>
              <w:t xml:space="preserve">platformas vai elektroniskā pakalpojuma</w:t>
            </w:r>
            <w:r w:rsidR="00000000" w:rsidRPr="00000000" w:rsidDel="00000000">
              <w:rPr>
                <w:rtl w:val="0"/>
              </w:rPr>
              <w:t xml:space="preserve"> izstrādes līgumcenas.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izstrādātājs saņem no šo noteikumu 13.1. apakšpunktā minētā finansējuma saņēmēja noslēguma maksājumu, kas nevar būt mazāks par 20 procentiem no informācijas sistēmas vai tās izmaiņu, platformas vai elektroniskā pakalpojuma izstrādes līgumcenas, tikai pēc tam, kad ir parakstīts nodošanas un pieņemšanas akts par informācijas un komunikācijas tehnoloģiju risinājuma vai tā izmaiņu izstrādi un ieviešanu un finansējuma saņēmējs ir pārliecinājies, ka izstrādātā informācijas sistēma, platforma vai elektroniskais pakalpojums atbilst iepirkuma līgumā ietvertajiem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36.punktā.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Informācijas sistēmas izstrādātājs saņem no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 finansējuma saņēmēju noslēguma maksājumu, kas nevar būt mazāks par 20 procentiem no informācijas sistēmas vai tās izmaiņu, platformas vai elektroniskā pakalpojuma izstrādes līgumcenas, tikai pēc tam, kad ir parakstīts nodošanas un pieņemšanas akts par informācijas un komunikācijas tehnoloģiju risinājuma vai tā izmaiņu izstrādi un ieviešanu un finansējuma saņēmējs ir pārliecinājies, ka izstrādātā informācijas sistēma, platforma vai elektroniskais pakalpojums atbilst iepirkuma līgumā ietvertajiem uzdevumiem.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visus 4.1.1.4. pasākuma "Veselības aprūpes pārvaldības sistēmas stiprināšana un digitalizācija, attīstot digitālos risinājumus" intervences kodus, atbilstoši Eiropas Savienības kohēzijas politikas programmas 2021. – 2027. gadam papildinājumam.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pasākuma ietvaros tiek īstenots projekts, kas nav saistīts ar saimnieciskās darbības veikšanu, lai izvērtētu, vai pasākumā plānoto darbību īstenošana nekvalificējas kā komercdarbības atbalsts veselības nozarē strādājošiem veselibas pakalpojumu sniedzējiem, tai skaitā ģimenes ārstiem, lūdzam papildināt anotāciju ar informāciju, kādas ir Veselības ministrijas padotības iestāžu pārziņā esošās valsts informācijas sistēmas un datu bāzes jeb reģistri (norādot konkrētas sistēmas un reģistrus), kurus plānots attīstīt, un vai plānotā sistēmu un reģistru attīstīšana izriet no konkrēto projektā iesaistīto Veselības ministrijas padotības iestāžu funkcijām, tai skaitā, kurā dokumentā ir nolasāms deleģējums katrai no konkrētajām padotības iestādēm izveidot vai uzturēt konkrētas sistēmas vai datu bāzes (norādot konkrētu punktu). Vienlaikus lūdzam anotācijā arī skaidrot, vai un no kāda tiesību akta izriet nosacījums, ka pasākuma ietvaros plānoto darbību rezultātā izveidojamie vai pilnveidojamie informācijas un komunikācijas tehnoloģiju risinājumi būs obligāti jāizmanto ikvienam veselības pakalpojumu sniedzējam, tādējādi apstiprinot izpratni, ka tas ir regulatīvs nozares risinājums, nevis saistīts ar atsevišķu saimnieciskās darbības veicējiem nepieciešamās informācijas un komunikācijas tehnoloģiju attīstību, kas tiem dotu selektīvu ekonomisku priekšrocību un tādējādi būtu attīstāms, piemērojot atbilstošu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ieguldījumi tiks veikti jau esošās valsts informācijas un komunikācijas tehnoloģiju risinājumos un pakalpojumos veselības nozarē, līdz ar to pamatojums esošo sistēmu vajadzībā ir jau sniegts pamatojot minēto sistēmu nepieciešamību. Ņemot vērā, ka ieguldījumi plānoti vairākos valsts  informācijas un komunikācijas tehnoloģiju risinājumos un pakalpojumos veselības nozarē, tad neuzskatām par racionālu, veikt katras Veselības ministrijas padotības iestāžu pārziņā esošās iestādēs valsts  informācijas un komunikācijas tehnoloģiju risinājumos un pakalpojumos pamatojumu. Plānoto finansējumu saņēmēju oficiālajās interneta mājas lapās ir atrodams, katras iestādes nolikums ar iestādei deleģētiem uzdevumiem. Attiecībā uz sabiedrību ar ierobežotu atbildību "Latvijas Digitālās veselības centrs" un atvasināta publiska personu “Latvijas Biomedicīnas pētījumu un studiju centrs” pamatojums finansējuma saņēmēja statusam ir sniegts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valsts  informācijas un komunikācijas tehnoloģiju risinājumos un pakalpojumos aptver plašu veselības aprūpes jomu digitalizāciju un datu integrācijas risinājumu ieviešanu, lai uzlabotu gan pacientu aprūpi, gan veselības nozares pārvaldību kopumā. Šie uzlabojumi ietver šādas galvenās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Pacienta elektroniskā veselības karte (EVK)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 veselības dati: Tiks paplašināta elektroniskā veselības kartē iekļaujamā informācija, iekļaujot zobārstniecības datus, medicīnisko apliecību par dzimšanu, mātes pasi, pacienta funkcionēšanas novērtējumu, nosūtījumus uz Veselības un darbspēju ekspertīzes ārstu valsts komisija, kā arī ārstēšanas un rehabilitācijas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E-receptes funkcionalitātes uzlabošana: E-receptes sistēmas optimizācija, lai nodrošinātu efektīvāku zāļu izrakstīšanas un saņemšanas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E-pieraksta sistēmas un vienotas rindu risinājuma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Izveide vienotai sistēmai, kas ļaus pacientiem ērti pierakstīties pie ārsta, samazinot gaidīšanas laikus un uzlabojot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Apmaksas talonu veidošana: Balstoties uz medicīnisko informāciju, tiks attīstīta sistēma, kas ģenerē apmaksas talonus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Jauni reģistri un to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Dzimumšūnu reģistrs: Jauna reģistra izveide, kas pārvaldīs informāciju par dzimumšūnām.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reģistru pilnveide: Esošo slimību reģistru paplašināšana un uzlabošana, lai tie nodrošinātu detalizētākus un precīzākus datus par pacientu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Veselības nozares datu noliktava un analītikas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izveidota datu noliktava veselības nozares datiem, kas nodrošinās plašas datu analīzes iespējas statistikas veidošanai, uzraudzībai un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Skrīninga datu modulis: Izstrādāts modulis, kas atbalstīs efektīvu skrīninga pakalpojumu organizēšanu (piemēram, uzaicinājumu izsūtīšanu un pēcskrīninga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Darba spēka plānošana un vienotais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nozares darbinieku reģistrs, kas iekļaus pilnīgu informāciju par veselības nozarē strādājošiem speciālistiem, tostarp to izglītību, noslodzi un tālākizglītību.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Reģistram būs pieejama plaša integrācija ar citām sistēmām, piemēram, ar Uzņēmumu reģistru un Valsts adrešu reģistru, nodrošinot vienotu un precīzu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Integrācija ar Neatliekamās medicīniskās palīdzības (NMP)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 ar ‘112 platformu’ un IĢIS (integrēto ģeotelpisko informācijas sistēmu) nodrošinās datu apmaiņu starp Neatliekamās medicīniskās palīdzības dienestu un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 dispečerizācijas risinājuma (Emy 3. versija) modernizācija uzlabos palīdzības sniegšanas operativitāti un saziņu.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Personas genoma sekvence EVK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EVK tiks papildināta ar informāciju par personas genoma sekvenci, kas ļaus pielietot personalizētu medicīnu un sniegs datus par ģenētiskajiem riskiem un profilakses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uzlabojumi ir vērsti uz veselības aprūpes sistēmas modernizāciju, pacientu aprūpes kvalitātes paaugstināšanu un nozares datu pārvaldības efektivitāti, kas ļaus pieņemt labāk pamatotus lēmumus gan klīniskajā, gan administratīvajā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nosaka, ka nozares ministrija, kuras padotībā atrodas šo noteikumu 13.1.  apakšpunktā minētie finansējuma saņēmēji vai šo noteikumu 16. punktā minētie sadarbības partneri, nodrošina, lai līdz projekta īstenošanas noslēgumam būtu apstiprināts tiesiskais regulējums, kas nosaka projekta ietvaros izveidotās vai attīstītās informācijas sistēmas, platformas vai izveidotā elektroniskā pakalpojuma darbību un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anotācijas 2.1. sadaļas apakšsadaļu "Juridiskās personas" ar norādi uz Veselības ministriju kā atbildīgo iestādi un precizēt šajā apakšsadaļā un visā anotācijas saturā norādītos projekta iesniedzējus atbilstoši noteikumu projekta 13.punktam, ņemot vērā, ka paredzēts, ka projekta iesniegumu iesniegs arī kapitālsabiedrība, savukārt atbilstošajā apakšsadaļā "Ietekmes apraksts" norādot, ka Veselības ministrija pildīs atbildīgās iestādes funkcijas, savukārt, attiecīgie plānotie projekta iesniedzējs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 2.1. un 7.1. sadaļās.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punktā “Cita informācija” norādīto informāciju pārcelt uz anotācijas 3.sadaļas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24-TA-36</w:t>
    </w:r>
    <w:r>
      <w:br/>
    </w:r>
    <w:r w:rsidR="00000000" w:rsidRPr="00000000" w:rsidDel="00000000">
      <w:rPr>
        <w:rtl w:val="0"/>
      </w:rPr>
      <w:t xml:space="preserve">11.11.2024. 15.11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24-TA-36</w:t>
    </w:r>
    <w:r>
      <w:br/>
    </w:r>
    <w:r w:rsidR="00000000" w:rsidRPr="00000000" w:rsidDel="00000000">
      <w:rPr>
        <w:rtl w:val="0"/>
      </w:rPr>
      <w:t xml:space="preserve">11.11.2024. 15.11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Izziņa_24-TA-36.docx</dc:title>
</cp:coreProperties>
</file>

<file path=docProps/custom.xml><?xml version="1.0" encoding="utf-8"?>
<Properties xmlns="http://schemas.openxmlformats.org/officeDocument/2006/custom-properties" xmlns:vt="http://schemas.openxmlformats.org/officeDocument/2006/docPropsVTypes"/>
</file>