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24-TA-111: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(12.01.2024.)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pauž iebildumu par noteikumu projekta 53.punktu.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redakcija nosaka, ka projekta vadības izmaksas, tai skaitā darba devēja valsts sociālās apdrošināšanas obligātās iemaksas, nepārsniedz 20% no kopējām projekta iesniegumā apstiprinātajām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samazināt projektu vadībai pieejamo summu, nosakot, ka projekta vadības izmaksas, tai skaitā darba devēja valsts sociālās apdrošināšanas obligātās iemaksas, nepārsniedz 20% no Atveseļošanās noturības mehānisma plāna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īsi pēc projektu iesniegšanas būs kardināli jāmaina plānotā projektu vadības struktūra un jāgroza budžets, jo samazināsies projekta vadībai pieejamais finansējums, vai arī ievērojami jāpalielina asociāciju līdzfinansējums projektu vadības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iebildumu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pauž sekojošus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9.2. ir noteikts šāds uzraudzības rādītājs –  komersantu skaits, kam nodrošināta digitālo pamatprasmju apguve līdz 2025. gada 30. jūnijam, – 1886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noteikuma projekta redakciju 9.2.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redakcija nosaka, ka līdz 2025. gada 30. jūnijam ir jāsasniedz uzraudzības rādītājs 1886 neunikālie komersanti, kam nodrošināta digitālo pamatprasmju apguve.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noteikuma projektu tiek kardināli palielināts uzraudzības rādītājs, paredzot, ka digitālo prasmju apguve ir jānodrošina 1886 unikālajiem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lielā daļā nozaru, kuru pārstāvošās biedrības ir iesniegušas projektu pieteikumus digitālo prasmju apguvei, nav tik daudz komersantu, lai nodrošinātu plānotā rādītāja sasniegšanu. Līdz ar to noteikumu izmaiņu rezultātā tiek apdraudēta jau iesniegto projektu īstenošana un pastāv ļoti liela varbūtība, ka līgumi par digitālo prasmju apguves projektu īstenošanu, netiks noslēgti.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projektu iesniedzēji spēs īstenot iesniegtos projektus, noteikumu projekta 9.2. punktā noteiktais uzraudzības rādītājs ir jāsamazina vismaz par 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53.  Projekta vadības izmaksas, tai skaitā darba devēja valsts sociālās apdrošināšanas obligātās iemaksas, nepārsniedz 20 % no Atveseļošanās noturības mehānisma plāna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projekta redakciju 53.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izziņā minēto, ka Ekonomikas ministrija ir ņēmusi vērā iebildumu par nepieciešamību saglabāt līdzšinējo noteikumu redakciju un nepasliktināt situāciju organizācijām, kas uzņemas projektu vadību, noteikumu projektā atbilstošas izmaiņas nav veiktas.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izmaiņas noteikumu projekta 53.punktā, saglabājot līdzšinējo noteikumu redakciju, kas nosaka, ka projekta vadības izmaksas, tai skaitā darba devēja valsts sociālās apdrošināšanas obligātās iemaksas, nepārsniedz 20% no kopējām projekta iesniegumā apstiprinātajām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spēkā esošo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ir norādīta pie iebildumiem.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Latvijas Tirdzniecības un rūpniecības kamerai skaidrojusi, ka 9.2. punktā minētie rādītāji ir saskaņoti ar Eiropas komisiju un šajos noteikumu grozījumos nav maināmi. Vienlaikus EM plāno vērties pie Eiropas komisijas ar jaunu aicinājumu pārskatīt šobrīd noteikto rādītāju samazināšanas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punktā veikti labojumi atbilstoši saņemtajiem iebildumiem.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atkārtoti lūdzam noteikumu projekta anotācijas 5.4. sadaļas 1. tabulu (A,B,C un D aili) papildināt ar informāciju par konkrētu Komisijas 2023. gada 13. decembra Regulas (ES) Nr. 2023/2831 par Līguma par Eiropas Savienības darbību 107. un 108. panta piemērošanu de minimis atbalstam vienību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5.4.1. tabula, norādot attiecīgās normas un atbilstošos noteikumu projekta 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 komponentes "Digitālā transformācija" 2.3. reformu un investīciju virziena "Digitālās prasmes" 2.3.1.2.i. investīcijas "Uzņēmumu digitālo prasmju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rast risinājumu un precizēt Projektā un Anotācijā procedūru saistībā ar Digitālā brieduma testēšanu (pirmreizējo un otrreizējo) un digitālās attīstības ceļa kartes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šīs programmas ietvaros aizstāt Eiropas Komisijas izstrādāto un EDIC nodrošināto digitālā brieduma testu ar Finansējuma saņēmēja īstenotajiem digitālo prasmju testēšanas rīkiem, kuri balstīti uz visiem Finansējuma saņēmējiem vienādu obligātās informācijas pozīciju iekļaušanu gala labuma guvēju testēšanā un obligātās informācijas pozīciju iekļaušanu digitālās attīstības ceļa kartes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samazināt administratīvo slogu programmas dalībniekiem saistībā ar otrreizējo digitālā brieduma testa veikšanu, jo saskaņā ar programmas nosacījumiem pēc digitālās attīstības ceļa kartē norādīto digitālo prasmju apmācību programmas vai kursa noslēguma tiek sagatavots apmācību sniedzēja vai gala labuma guvēja apliecinājums par sekmīgu apmācību īstenošanu, kas ir pietiekams un galīgs apliecinājums digitālās attīstības ceļa kartē norādīto pasākumu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izstrādātais un EDIC nodrošinātais digitālā brieduma tests ietver komersanta digitālā brieduma noteikšanu un šādus novērtējuma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jūsu uzņēmums rīkojas, lai pārkvalificētu darbiniekus un paaugstinātu viņu kvalifikāciju digitalizācijas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jūsu uzņēmums iesaista un pilnvaro savus darbiniekus, ieviešot digitālos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minētie jautājumi neietver padziļinātu konkrēto apmācību programmu novērtējumu, aicinām aizstāt otrreizējo digitālā brieduma testēšanu ar apliecinājumu par digitālās attīstības ceļa kartē norādīto apmācību īstenošanu. Attiecīgi EDIC, Finansējuma saņēmējs vai gala labuma guvējs ievada testēšanas sistēmā informāciju par digitālās attīstības ceļa kartē norādīto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ANM plāna ietvaros sākotnējais digitālais tests nav aizstājams ar finansējuma saņēmēja veidotu citu rīku, jo esošais tests ir Eiropas komisijas apstiprināts kā obligāts. Papildus informējam, ka 66.5. apakšpunkts izteikts jaunā redakcijā, dzēšot daļu, kas nosaka, ka nepieciešams veikt otrreizējo testu, jo ANM plāns neparedz, ka otrreizējam testam jābūt veiktam tāpat kā sākotnējam, līdz ar to anotācija papildināta ar skaidrojošo informāciju otrreizēja testa vai apliecinājuma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veikti labojumi 77.4. apakšpunktā, norādot nepieciešamību iesniegt apliecinājumu par sekmīgu mācību kursa apguvi, dzēšot prasību 77.3. apakšpunktā veikt otrreizējo digitālā brieduma testu.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 komponentes "Digitālā transformācija" 2.3. reformu un investīciju virziena "Digitālās prasmes" 2.3.1.2.i. investīcijas "Uzņēmumu digitālo prasmju attīstība"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ir noteikts šāds uzraudzības rādītājs –  komersantu skaits, kam nodrošināta digitālo pamatprasmju apguve līdz 2025. gada 30. jūnijam, – 1886 komersanti;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Noteikuma (grozījumu) projekta 9.2.punktu piedāvātajā redakcijā, jo lielā daļā nozaru, kuru pārstāvji ir iesnieguši pieteikumus digitālo pamatprasmju apguvei, nav tik daudz komersantu, lai nodrošinātu plānotā rādītāja sasniegšanu. Parādās risks, ka šādā gadījumā varētu tikt apdraudēta jau iesniegto projektu īstenošana un netiks noslēgti līgumi par pamatprasmju apguves projektu īstenošanu. Noteikumu projekta 9.2. punktā ietvertais uzraudzības rādītājs, ar ko turpmāk paredzēts noteikt unikālo komersantu skaitu, būtu jānosaka vismaz 2 reizes zemāks.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Noteikuma (grozījumu) projekta 9.2.punktu noteikt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ir noteikts šāds uzraudzības rādītājs –  komersantu skaits, kam nodrošināta digitālo pamatprasmju apguve līdz 2025. gada 30. jūnijam – 943 komersanti.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9.2. punktā minētie rādītāji ir saskaņoti ar Eiropas komisiju un šajos noteikumu grozījumos nav maināmi. Vienlaikus EM plāno vērties pie Eiropas komisijas ar jaunu aicinājumu pārskatīt šobrīd noteikto rādītāju samazināšanas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ir noteikts šāds uzraudzības rādītājs –  komersantu skaits, kam nodrošināta digitālo pamatprasmju apguve līdz 2025. gada 30. jūnijam, – 1886 komersanti;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ir noteikts šāds uzraudzības rādītājs – neunikālo komersantu skaits, kam nodrošināta digitālo pamatprasmju apguve līdz 2025. gada 30. jūnijam, – 1886 komersanti;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Darbības kārtības saskaņošanas laikā netika panākts kompromiss par šo noteikumu 9.2.apakšpunktā noteiktā uzraudzības rādītāja redakciju, aicinām 9.2.apakšpunktā svītrot vārdu "neunikālo", līdz ar to nodrošinot tikai unikālā komersantu skaita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atbilstošu skaidrojumu papildināt arī anotāciju, vienlaicīgi lūdzam anotācijā sniegt skaidrojumu kā šie grozījumi ietekmēs vērtēšanā esošos projektu iesniegumus, tai skaitā kādai jābūt CFLA rīcībai attiecība uz projekta iesniegumu vērtēšanu, kā arī uz projektu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iebildumu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ir noteikts šāds uzraudzības rādītājs –  komersantu skaits, kam nodrošināta digitālo pamatprasmju apguve līdz 2025. gada 30. jūnijam, – 1886 komersanti;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6. tā atbilst komercdarbības atbalsta nosacījumiem atbilstoši šo noteikumu 25. punktā un 5. nodaļā minētajiem de minimis 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ietvertajā Ministru kabineta 2023. gada 12. septembra noteikumu Nr. 529 "Eiropas Savienības Atveseļošanas un noturības mehānisma plāna 2. komponentes "Digitālā transformācija" 2.3. reformu un investīciju virziena "Digitālās prasmes" 2.3.1.2.i. investīcijas "Uzņēmumu digitālo prasmju attīstība" īstenošanas noteikumi" 20.8. apakšpunktā un 20.</w:t>
            </w:r>
            <w:r w:rsidR="00000000" w:rsidRPr="00000000" w:rsidDel="00000000">
              <w:rPr>
                <w:vertAlign w:val="superscript"/>
                <w:rtl w:val="0"/>
              </w:rPr>
              <w:t xml:space="preserve">1</w:t>
            </w:r>
            <w:r w:rsidR="00000000" w:rsidRPr="00000000" w:rsidDel="00000000">
              <w:rPr>
                <w:rtl w:val="0"/>
              </w:rPr>
              <w:t xml:space="preserve">6. apakšpunktā un nepieciešamības gadījumā cituviet svītrot atsauces uz šo noteikumu 25. punktu, ņemot vērā, ka 25. punktā nav norādīti </w:t>
            </w:r>
            <w:r w:rsidR="00000000" w:rsidRPr="00000000" w:rsidDel="00000000">
              <w:rPr>
                <w:i w:val="1"/>
                <w:rtl w:val="0"/>
              </w:rPr>
              <w:t xml:space="preserve">de minimis</w:t>
            </w:r>
            <w:r w:rsidR="00000000" w:rsidRPr="00000000" w:rsidDel="00000000">
              <w:rPr>
                <w:rtl w:val="0"/>
              </w:rPr>
              <w:t xml:space="preserve"> atbalsta nosacījumi, bet gan izslēgšanas kritēriji, uz kuriem jau norādīts šo noteikumu 20.6. un 20.</w:t>
            </w:r>
            <w:r w:rsidR="00000000" w:rsidRPr="00000000" w:rsidDel="00000000">
              <w:rPr>
                <w:vertAlign w:val="superscript"/>
                <w:rtl w:val="0"/>
              </w:rPr>
              <w:t xml:space="preserve">1</w:t>
            </w:r>
            <w:r w:rsidR="00000000" w:rsidRPr="00000000" w:rsidDel="00000000">
              <w:rPr>
                <w:rtl w:val="0"/>
              </w:rPr>
              <w:t xml:space="preserve">5.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6. tā atbilst šo noteikumu 5. nodaļā minētajiem komercdarbības 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Pieņemta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6. tā atbilst šo noteikumu 5. nodaļā minētajiem komercdarbības atbalsta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kopējām projekta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precizēto Ministru kabineta noteikumu projektu “Grozījumi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 (ID 24-TA-111) (turpmāk – Projekts) un paužam priekšlikumus 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Aicinām ņemt vērā jau iepriekš LTRK izteikto viedokli (22.03.2024. atzinumā) un saglabāt jau šobrīd noteikumos apstiprināto redakciju:</w:t>
            </w:r>
            <w:r w:rsidR="00000000" w:rsidRPr="00000000" w:rsidDel="00000000">
              <w:rPr>
                <w:rtl w:val="0"/>
              </w:rPr>
              <w:t xml:space="preserve"> “</w:t>
            </w:r>
            <w:r w:rsidR="00000000" w:rsidRPr="00000000" w:rsidDel="00000000">
              <w:rPr>
                <w:i w:val="1"/>
                <w:rtl w:val="0"/>
              </w:rPr>
              <w:t xml:space="preserve">53. Projekta vadības izmaksas, tai skaitā darba devēja valsts sociālās apdrošināšanas obligātās iemaksas, nepārsniedz 20% no kopējām projekta iesniegumā apstiprinātajām izmaksām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iebilst Projekta 53. punktam. </w:t>
            </w:r>
            <w:r w:rsidR="00000000" w:rsidRPr="00000000" w:rsidDel="00000000">
              <w:rPr>
                <w:rtl w:val="0"/>
              </w:rPr>
              <w:t xml:space="preserve">Ņemot vērā, ka šobrīd spēkā esošā noteikumu redakcija ir Ekonomikas ministrijas un pārējo institūciju iepriekš saskaņota, aicinām saglabāt līdzšinējo noteikumu redakciju un nepasliktināt situāciju organizācijām, kas uzņemas projektu vadību, jo noteikumu grozījumu projektā iekļautā izmainītā redakcija ir dažādi interpretējama un var novest projekta īstenotājus pie nepamatotām soda sankcijām arī veiksmīgi īstenota projekta rezultātā, kas būtu klajā pretrunā ar programmas sasniedzamajiem mērķiem un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izmaiņas Projekta 53. punktā, saglabājot līdzšinējo noteikumu redakciju, kas nosaka, ka projekta vadības izmaksas, tai skaitā darba devēja valsts sociālās apdrošināšanas obligātās iemaksas, nepārsniedz 20% no kopējām projekta iesniegumā apstiprinātajām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Alternatīvi rosinām papildināt Anotāciju ar teikumu:</w:t>
            </w:r>
            <w:r w:rsidR="00000000" w:rsidRPr="00000000" w:rsidDel="00000000">
              <w:rPr>
                <w:rtl w:val="0"/>
              </w:rPr>
              <w:t xml:space="preserve"> “Projekta vadības izmaksu 20% ierobežojums tiek noteikts no projekta pieteikumā apstiprinātājām izmaksām un var tikt pārskatīts vienīgi gadījumā, ja projekta plānotie radītāji nav sasniegti atbilstošā apmērā un finansējuma saņēmējam nav izveidojies neizlietotais finansējums apmācību izmaksu budžeta pozīcijās.”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atstāt esošo 53. punkta redakciju vai norādīt papildu informāciju Anotācijā, jo projekta vadības izmaksas ir fiksētas un sadalītas daļās pa mēnešiem, savukārt apmācību izmaksas mainīgas un nav tieši piesaistītas projekta vadības darba uzdevumu veikšanai. Kopumā projekta īstenošanas mērķis ir rādītāju sasniegšana, kas iespējama arī ar mazākiem apmācību izdevumiem (jo precīzi nav paredzami komersantu apmācību pieprasījuma apjomi finanšu izteiksmē), ietaupot AF līdzekļus. Projekta vadības darba uzdevumi un izmaksas tiek fiksētas, noslēdzot projekta vadības darba vai pakalpojumu līgumus projekta 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situācija, ka projekta noslēgumā Finansējuma saņēmējs ir sekmīgi īstenojis projektu un rādītāji ir sasniegti, bet vienlaicīgi Finansējuma saņēmējam tiek piemērotas soda sankcijas un finanšu korekcijas, ja faktiski projekta vadības izmaksu proporcija pret apmācību tiešajām izmaksām pārsniedz 20%, kas noteicis uz apmācību attiecināmo izdevumu ietaupījuma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situācija, ka piešķirot valsts atbalstu gala saņēmējiem, Finansējuma saņēmējs dod priekšroku vai arī veicina finansiāli apjomīgāku apmācību aktivitāšu izmaksu pieteikumus, jo valsts atbalsta procedūras un projekta īstenošanas darbības ir vienlīdzīgas gan mazu, gan lielu izmaksu apmācībām.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iepazinušies ar izteikto iebildumu, tomēr norādām, ka esošā redakcija par 20% ierobežojumu paliek spēkā. Norādām, ka attiecībā uz 20% ierobežojumu projekta vadības izmaksām, projekta noslēgumā faktiskā projekta vadības izmaksu kopsumma un tās procentuālais īpatsvars būtu skatāms kopsakarā ar sasniegto rādītāju un apgūtā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kopējām projekta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Atveseļošanās noturības mehānisma plāna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uztur savu iepriekšējo (21.02.2024. pausto) iebildumu un norāda, ka piedāvātā redakcija neatbilst izziņā minētajam, ka Ekonomikas ministrija ir ņēmusi vērā attiecīgo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punkta spēkā esošā redakcija nosaka, ka projekta vadības izmaksas, tai skaitā darba devēja valsts sociālās apdrošināšanas obligātās iemaksas, nepārsniedz 20% no kopējām projekta iesniegumā apstiprinātajām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grozījumi paredz samazināt projektu vadībai pieejamo summu, nosakot, ka projekta vadības izmaksas, tai skaitā darba devēja valsts sociālās apdrošināšanas obligātās iemaksas, nepārsniedz 20% no Atveseļošanās noturības mehānisma plāna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šādas izmaiņas būtiski ietekmēs plānoto projektu vadības struktūru. Īsi pēc projektu iesniegšanas būs nepieciešami grozījumi struktūrā un jāgroza budžets, jo samazināsies projekta vadībai pieejamais finansējums, vai arī ievērojami jāpalielina asociāciju līdzfinansējums projektu vadības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līdzšinējo noteikumu redakciju un nepasliktināt situāciju organizācijām, kas uzņemas projektu vadību.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saglabāt šobrīd spēkā esošo 53.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izmaksas, tai skaitā darba devēja valsts sociālās apdrošināšanas obligātās iemaksas, nepārsniedz 20 % no kopējām projekta iesniegumā apstiprinātajām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punkts atbilstoši rediģēts.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kopējām projekta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Atveseļošanās noturības mehānisma plāna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14. punktā svītrot norādi uz Atveseļošanās noturības mehānisma plānu, jo minētais plāns (proti, Latvijas Atveseļošanas un noturības mehānisma plāns) ir apstiprināts ar rīkojumu un līdz ar to atbilstoši indivīda pamattiesībām zināt savas tiesības noteikumu projektā nav pieļaujams noteikt privātpersonai ierobežojumu, kura apmērs nav noteikts ārējā normatīvajā aktā. Papildus norādām, ka arī cituviet noteikumu projektā ietvertas atsauces uz Atveseļošanas fonda finansējumu (atbilstoši atrunātajam saīsinājumam), nevis Atveseļošanās noturības mehānisma plāna finansējumu, tādēļ nepieciešams nodrošināt vienveidīgu izteiksmi, ja ar minēto finansējumu ir saprotams viens un tas pats.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kopējā projektam piešķirtā Atveseļošanas fonda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saņemtajiem iebildumiem.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kopējām projekta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Atveseļošanās noturības mehānisma plāna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par noteikumu grozījumu projekta 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punkta spēkā esošā redakcija nosaka, ka projekta vadības izmaksas, tai skaitā darba devēja valsts sociālās apdrošināšanas obligātās iemaksas, nepārsniedz 20% no kopējām projekta iesniegumā apstiprinātajām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grozījumi paredz samazināt projektu vadībai pieejamo summu, nosakot, ka projekta vadības izmaksas, tai skaitā darba devēja valsts sociālās apdrošināšanas obligātās iemaksas, nepārsniedz 20% no Atveseļošanās noturības mehānisma plāna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šādas izmaiņas būtiski ietekmēs plānoto projektu vadības struktūru. Īsi pēc projektu iesniegšanas būs nepieciešami grozījumi struktūrā un jāgroza budžets, jo samazināsies projekta vadībai pieejamais finansējums, vai arī ievērojami jāpalielina asociāciju līdzfinansējums projektu vadības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līdzšinējo noteikumu redakciju un nepasliktināt situāciju organizācijām, kas uzņemas projektu vadību.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spēkā esošo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iebildumu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kopējām projekta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Atveseļošanās noturības mehānisma plāna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2023. gada 12. septembra noteikumu Nr. 529 "Eiropas Savienības Atveseļošanas un noturības mehānisma plāna 2. komponentes "Digitālā transformācija" 2.3. reformu un investīciju virziena "Digitālās prasmes" 2.3.1.2.i. investīcijas "Uzņēmumu digitālo prasmju attīstība" īstenošanas noteikumi" (turpmāk - MK noteikumi Nr.529) 53. punkta redakciju, nodrošinot līdzīgu redakciju kā ir noteikts MK noteikumu Nr.529 54., 55. un 56.punktā. Ņemot vērā konkrētās investīcijas specifiku, kā arī to, ka investīcija tiek dalīta divās kārtās ar atšķirīgiem atlases nosacījumiem, skaidrojam, ka projekta vadības izmaksas šajā gadījumā ir aprēķināmas no konkrētā projekta kopējām izmaksām. Projekta vadības izmaksas nevar tikt aprēķinātas no visa Atveseļošanas un noturības mehānisma plāna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MK noteikumu Nr.529 1.punktā noteikto saīsinājumu, lūdzam aizstāt vārdus "Atveseļošanās noturības mehānisma plāna" ar vārdiem "Atveseļošanas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projekta iesniegumā apstiprinātā Atveseļošanas fonda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iebildumu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kopējām projekta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pieprasīt, lai gala labuma guvējs iesniedz digitālā brieduma testu, kas veikts saskaņā ar </w:t>
            </w:r>
            <w:r w:rsidR="00000000" w:rsidRPr="00000000" w:rsidDel="00000000">
              <w:rPr>
                <w:rtl w:val="0"/>
              </w:rPr>
              <w:t xml:space="preserve">Ministru kabineta 2022. gada 13. septembra noteikumiem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r w:rsidR="00000000" w:rsidRPr="00000000" w:rsidDel="00000000">
              <w:rPr>
                <w:rtl w:val="0"/>
              </w:rPr>
              <w:t xml:space="preserve"> (turpmāk – MK noteikumi Nr. 577). Pēc testa veikšanas gala labuma guvējs no Eiropas digitālās inovācijas centra saņem digitālās attīstības ceļa karti ar priekšnosacījumiem atbalsta saņemšanai. Pēc jebkuras digitālās transformācijas projekta īstenošanas gala labuma guvējam veic otrreizēju digitālā brieduma testu, lai saņemtu atzinumu par digitālās transformācijas rezultātiem un izpildītajiem rādītājiem saskaņā ar ceļa karti. Otrreizējā un sākotnējā digitālā brieduma testa rezultāti tiek savstarpēji salīdzināti. Otrreizējā testa rezultātiem jābūt sākotnējā digitālā brieduma testa līmenī vai ar uzlabojumu digitalizācijas kopējā līmenī pret iepriekšējo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Informācijas tehnoloģiju klasteris"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digitālo prasmju attīstība ir svarīga komponente komersantu digitālās transformācijas veicināšanā un uzlabošanā, taču atšķirībā no investīcijām komersantu iekšējo procesu digitalizācijā, 2.3.1.2.i investīcijā paredzamās ieguldāmās investīcijas apmācībās ir salīdzinoši mazākas kā, piemēram, programmatūras vai tehnoloģiju iegādē, kā arī investīcijā 2.3.1.2.i paredzamās aktivitātes ir ieguldījumi cilvēkresursos jeb apmācības, kas nesniegs tūlītēju rezultātu attiecībā uz digitālās transformācijas attīstību un otrreizējā digitālā brieduma testa uzlabojumiem, tādēļ ierosinām dzēst 66.5. punkta 3., 4. un 5. teikumu, kā arī attiecīgi noteikumu 2.6., 77.3. un 77.4. punktu, lai novērstu nepieciešamību komersantam veikt otrreizējo digitālo brieduma testu pēc katrām apmācībām, apgrūtinot gan komersantu, gan EDIC un projekta administrēšanu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pieprasīt, lai gala labuma guvējs iesniedz digitālā brieduma testu, kas veikts saskaņā ar Ministru kabineta 2022. gada 13. septembra noteikumiem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(turpmāk – MK noteikumi Nr. 577). Pēc testa veikšanas gala labuma guvējs no Eiropas digitālās inovācijas centra saņem digitālās attīstības ceļa karti ar priekšnosacījumiem atbalsta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izteikts piedāvātajā redakcijā. Anotācija papildināta ar informāciju par to, ka otrreizējais digitālā brieduma tests nav obligāts.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pieprasīt, lai gala labuma guvējs iesniedz digitālā brieduma testu, kas veikts saskaņā ar </w:t>
            </w:r>
            <w:r w:rsidR="00000000" w:rsidRPr="00000000" w:rsidDel="00000000">
              <w:rPr>
                <w:rtl w:val="0"/>
              </w:rPr>
              <w:t xml:space="preserve">Ministru kabineta 2022. gada 13. septembra noteikumiem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r w:rsidR="00000000" w:rsidRPr="00000000" w:rsidDel="00000000">
              <w:rPr>
                <w:rtl w:val="0"/>
              </w:rPr>
              <w:t xml:space="preserve"> (turpmāk – MK noteikumi Nr. 577). Pēc testa veikšanas gala labuma guvējs no Eiropas digitālās inovācijas centra saņem digitālās attīstības ceļa karti ar priekšnosacījumiem atbalsta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saimnieciskās darbības veicējs vienlaikus darbojas vienā vai vairākās nozarēs vai veic citas darbības sfērās, kas neietilpst Komisijas regulas Nr. 2023/2831 darbības jomā, tas nodrošina šo nozaru darbību vai izmaksu nodalīšanu saskaņā ar Komisijas regulas Nr. ​2023/2831 1. panta 2. punktu. Ja gala labuma guvējs un finansējuma saņēmējs darbojas kādā no šo noteikumu </w:t>
            </w:r>
            <w:r w:rsidR="00000000" w:rsidRPr="00000000" w:rsidDel="00000000">
              <w:rPr>
                <w:rtl w:val="0"/>
              </w:rPr>
              <w:t xml:space="preserve">80. </w:t>
            </w:r>
            <w:r w:rsidR="00000000" w:rsidRPr="00000000" w:rsidDel="00000000">
              <w:rPr>
                <w:rtl w:val="0"/>
              </w:rPr>
              <w:t xml:space="preserve">punktā</w:t>
            </w:r>
            <w:r w:rsidR="00000000" w:rsidRPr="00000000" w:rsidDel="00000000">
              <w:rPr>
                <w:rtl w:val="0"/>
              </w:rPr>
              <w:t xml:space="preserve"> minētajām nozarēm vai darbībām, komercdarbības atbalstu drīkst piešķirt tad, ja atbalsta pretendents nodrošina darbību nodalīšanu vai uzskaites nodalīšanu, lai darbības izslēgtajās nozarēs negūst labumu no de minimis atbalsta, ko piešķir saskaņā ar noteikumiem. Ja gala labuma guvējs un finansējuma saņēmējs veic darbības, kas minētas regulas 2023/2831 1.panta 1.punkta “e” vai “f” apakšpunktos, atbalstu piešķirt nedrīkst.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atbalsta pretendents darbojas kādā no Komisijas regulas Nr.2023/2831 1.panta 1.punkta "a", "b", "c" un "d" apakšpunktā minētajām nozarēm, tam jānodrošina </w:t>
            </w:r>
            <w:r w:rsidR="00000000" w:rsidRPr="00000000" w:rsidDel="00000000">
              <w:rPr>
                <w:u w:val="single"/>
                <w:rtl w:val="0"/>
              </w:rPr>
              <w:t xml:space="preserve">šo nozaru</w:t>
            </w:r>
            <w:r w:rsidR="00000000" w:rsidRPr="00000000" w:rsidDel="00000000">
              <w:rPr>
                <w:rtl w:val="0"/>
              </w:rPr>
              <w:t xml:space="preserve"> darbību vai uzskaites nodalīšanu, lai saskaņā ar Komisijas regulas Nr.2023/2831 1.panta 2.punktu vai Komisijas regulas Nr.1408/2013 1.panta 2.punktu darbības izslēgtajās nozarēs negūst labumu no de minimis atbalsta, ko piešķir saskaņā ar šiem noteikumiem, kā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noteikumos ir paredzētas papildu neatbalstāmās nozares (kas nav ietvertas Komisijas regulas Nr.2023/2831 1.panta 1.punktā), kurām atbalstu programmas ietvaros nedrīkst sniegt, gadījumā, ja atbalsta programmas ietvaros var piešķirt atbalstu arī tādiem atbalsta pretendentiem, kas darbojas 80.2.-80.10.apakšpunktos noteiktajās nozarēs, taču veic nozaru darbību vai uzskaites nodalīšanu un darbības izslēgtajās nozarēs negūst labumu no de minimis atbalsta, ko piešķir saskaņā ar noteikumiem, aicinām izteikt MK noteikumu 81.punktu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pretendents vienlaikus darbojas vienā vai vairākās Komisijas regulas Nr.2023/2831 1.panta 1.punkta a), b), c) un d) apakšpunktā minētajās nozarēs, atbalstu drīkst piešķirt, ja atbalsta pretendents nodrošina šo nozaru darbību vai uzskaites nodalīšanu, lai saskaņā ar Komisijas regulas Nr.2023/2831 1.panta 2.punktu darbības izslēgtajās nozarēs negūst labumu no de minimis atbalsta, ko piešķir saskaņā ar noteikumiem. Ja Pretendents vienlaikus darbojas vienā vai vairākās nozarēs, kas minētas šo noteikumu 80.2.-80.10. apakšpunktā, nodrošina šo nozaru darbību vai uzskaites nodalīšanu, nodrošinot, ka darbības izslēgtajās nozarēs negūst labumu no atbalsta, ko piešķir saskaņā ar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ir iepazinusies ar piedāvātajām TM un FM piedāvātajām redakcijām šim punktam, izveidota jauna redakcija, kas ietver piedāvāto redakciju apvienojumu.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finansējuma saņēmējs vai gala labuma guvējs pretendē uz Komisijas regulas Nr. 2023/2831 atbalsta saņemšanu un vienlaikus darbojas vienā vai vairākās Komisijas regulas Nr.2023/2831 1.panta 1.punkta a), b), c) un d) apakšpunktā minētajās nozarēs, atbalstu drīkst piešķirt, ja tas nodrošina šo nozaru darbību vai uzskaites nodalīšanu, lai saskaņā ar Komisijas regulas Nr.2023/2831 1.panta 2.punktu darbības izslēgtajās nozarēs negūst labumu no de minimis atbalsta, ko piešķir saskaņā ar noteikumiem. Ja finansējuma saņēmējs vai gala labuma guvējs vienlaikus darbojas vienā vai vairākās nozarēs, kas minētas šo noteikumu </w:t>
            </w:r>
            <w:r w:rsidR="00000000" w:rsidRPr="00000000" w:rsidDel="00000000">
              <w:rPr>
                <w:rtl w:val="0"/>
              </w:rPr>
              <w:t xml:space="preserve">80.2.</w:t>
            </w:r>
            <w:r w:rsidR="00000000" w:rsidRPr="00000000" w:rsidDel="00000000">
              <w:rPr>
                <w:rtl w:val="0"/>
              </w:rPr>
              <w:t xml:space="preserve"> -</w:t>
            </w:r>
            <w:r w:rsidR="00000000" w:rsidRPr="00000000" w:rsidDel="00000000">
              <w:rPr>
                <w:rtl w:val="0"/>
              </w:rPr>
              <w:t xml:space="preserve">80.10. </w:t>
            </w:r>
            <w:r w:rsidR="00000000" w:rsidRPr="00000000" w:rsidDel="00000000">
              <w:rPr>
                <w:rtl w:val="0"/>
              </w:rPr>
              <w:t xml:space="preserve">apakšpunktā</w:t>
            </w:r>
            <w:r w:rsidR="00000000" w:rsidRPr="00000000" w:rsidDel="00000000">
              <w:rPr>
                <w:rtl w:val="0"/>
              </w:rPr>
              <w:t xml:space="preserve">, tas nodrošina šo nozaru darbību vai uzskaites nodalīšanu, lai darbības izslēgtajās nozarēs negūst labumu no atbalsta, ko piešķir saskaņā ar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saimnieciskās darbības veicējs vienlaikus darbojas vienā vai vairākās nozarēs vai veic citas darbības sfērās, kas neietilpst Komisijas regulas Nr. 2023/2831 darbības jomā, tas nodrošina šo nozaru darbību vai izmaksu nodalīšanu saskaņā ar Komisijas regulas Nr. ​2023/2831 1. panta 2. punktu. Ja gala labuma guvējs un finansējuma saņēmējs darbojas kādā no šo noteikumu </w:t>
            </w:r>
            <w:r w:rsidR="00000000" w:rsidRPr="00000000" w:rsidDel="00000000">
              <w:rPr>
                <w:rtl w:val="0"/>
              </w:rPr>
              <w:t xml:space="preserve">80. </w:t>
            </w:r>
            <w:r w:rsidR="00000000" w:rsidRPr="00000000" w:rsidDel="00000000">
              <w:rPr>
                <w:rtl w:val="0"/>
              </w:rPr>
              <w:t xml:space="preserve">punktā</w:t>
            </w:r>
            <w:r w:rsidR="00000000" w:rsidRPr="00000000" w:rsidDel="00000000">
              <w:rPr>
                <w:rtl w:val="0"/>
              </w:rPr>
              <w:t xml:space="preserve"> minētajām nozarēm vai darbībām, komercdarbības atbalstu drīkst piešķirt tad, ja atbalsta pretendents nodrošina darbību nodalīšanu vai uzskaites nodalīšanu, lai darbības izslēgtajās nozarēs negūst labumu no de minimis atbalsta, ko piešķir saskaņā ar noteikumiem. Ja gala labuma guvējs un finansējuma saņēmējs veic darbības, kas minētas regulas 2023/2831 1.panta 1.punkta “e” vai “f” apakšpunktos, atbalstu piešķirt nedrīkst.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 punktu, nodrošinot precīzu attiecīgo regulu prasību ieviešanu un juridiskās tehnikas prasībām atbilstošu regulējumu. Tostarp lūdzam nodrošināt, ka minētā norma nedublējas ar šo noteikumu 80. punktā ietverto regulējumu, tiek lietota konsekventa terminoloģija (piem., noteikumu projektā nav cituviet norādīts uz atbalsta pretendentu) kā arī precīzi tiek atspoguļots, kas ir nodalāms - darbība vai uzskaite, vai darbība vai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finansējuma saņēmējs vai gala labuma guvējs vienlaikus darbojas gan kādā no nozarēm, kas minētas Komisijas regulas Nr. 2023/2831 1. panta 1. punkta "a", "b", "c" vai "d" apakšpunktā, gan vienā vai vairākās citās nozarēs, uz kurām attiecas šīs regulas darbības joma, tas nodrošina šo nozaru darbību vai izmaksu nodalīšanu saskaņā ar Komisijas regulas Nr. 2023/2831 1. panta 2. punktu, nodrošinot, ka darbības nozarēs, kuras ir izslēgtas no šīs regulas darbības jomas, negūst labumu no de minimis atbalsta, ko piešķir saskaņā ar Komisijas regulu Nr. 2023/2831. Ja gala labuma guvējs un finansējuma saņēmējs vienlaikus darbojas kādā no šo noteikumu 80. punktā (izņemot 80.1. apakšpunktā) minētajām nozarēm vai darbībām, gan vienā vai vairākās citās nozarēs, komercdarbības atbalstu drīkst piešķirt tad, ja finansējuma saņēmējs nodrošina darbību vai izmaksu nodalīšanu, lai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ir iepazinusies ar piedāvātajām TM un FM piedāvātajām redakcijām šim punktam, izveidota jauna redakcija, kas ietver piedāvāto redakciju apvienojumu.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finansējuma saņēmējs vai gala labuma guvējs pretendē uz Komisijas regulas Nr. 2023/2831 atbalsta saņemšanu un vienlaikus darbojas vienā vai vairākās Komisijas regulas Nr.2023/2831 1.panta 1.punkta a), b), c) un d) apakšpunktā minētajās nozarēs, atbalstu drīkst piešķirt, ja tas nodrošina šo nozaru darbību vai uzskaites nodalīšanu, lai saskaņā ar Komisijas regulas Nr.2023/2831 1.panta 2.punktu darbības izslēgtajās nozarēs negūst labumu no de minimis atbalsta, ko piešķir saskaņā ar noteikumiem. Ja finansējuma saņēmējs vai gala labuma guvējs vienlaikus darbojas vienā vai vairākās nozarēs, kas minētas šo noteikumu </w:t>
            </w:r>
            <w:r w:rsidR="00000000" w:rsidRPr="00000000" w:rsidDel="00000000">
              <w:rPr>
                <w:rtl w:val="0"/>
              </w:rPr>
              <w:t xml:space="preserve">80.2.</w:t>
            </w:r>
            <w:r w:rsidR="00000000" w:rsidRPr="00000000" w:rsidDel="00000000">
              <w:rPr>
                <w:rtl w:val="0"/>
              </w:rPr>
              <w:t xml:space="preserve"> -</w:t>
            </w:r>
            <w:r w:rsidR="00000000" w:rsidRPr="00000000" w:rsidDel="00000000">
              <w:rPr>
                <w:rtl w:val="0"/>
              </w:rPr>
              <w:t xml:space="preserve">80.10. </w:t>
            </w:r>
            <w:r w:rsidR="00000000" w:rsidRPr="00000000" w:rsidDel="00000000">
              <w:rPr>
                <w:rtl w:val="0"/>
              </w:rPr>
              <w:t xml:space="preserve">apakšpunktā</w:t>
            </w:r>
            <w:r w:rsidR="00000000" w:rsidRPr="00000000" w:rsidDel="00000000">
              <w:rPr>
                <w:rtl w:val="0"/>
              </w:rPr>
              <w:t xml:space="preserve">, tas nodrošina šo nozaru darbību vai uzskaites nodalīšanu, lai darbības izslēgtajās nozarēs negūst labumu no atbalsta, ko piešķir saskaņā ar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Vienam </w:t>
            </w:r>
            <w:r w:rsidR="00000000" w:rsidRPr="00000000" w:rsidDel="00000000">
              <w:rPr>
                <w:i w:val="1"/>
                <w:rtl w:val="0"/>
              </w:rPr>
              <w:t xml:space="preserve">de minimis</w:t>
            </w:r>
            <w:r w:rsidR="00000000" w:rsidRPr="00000000" w:rsidDel="00000000">
              <w:rPr>
                <w:rtl w:val="0"/>
              </w:rPr>
              <w:t xml:space="preserve"> atbalsta saņēmējam </w:t>
            </w:r>
            <w:r w:rsidR="00000000" w:rsidRPr="00000000" w:rsidDel="00000000">
              <w:rPr>
                <w:i w:val="1"/>
                <w:rtl w:val="0"/>
              </w:rPr>
              <w:t xml:space="preserve">de minimis</w:t>
            </w:r>
            <w:r w:rsidR="00000000" w:rsidRPr="00000000" w:rsidDel="00000000">
              <w:rPr>
                <w:rtl w:val="0"/>
              </w:rPr>
              <w:t xml:space="preserve"> atbalsta apmērs kopā ar attiecīgajā fiskālajā gadā un iepriekšējos divos fiskālajos gados piešķirto </w:t>
            </w:r>
            <w:r w:rsidR="00000000" w:rsidRPr="00000000" w:rsidDel="00000000">
              <w:rPr>
                <w:i w:val="1"/>
                <w:rtl w:val="0"/>
              </w:rPr>
              <w:t xml:space="preserve">de minimis</w:t>
            </w:r>
            <w:r w:rsidR="00000000" w:rsidRPr="00000000" w:rsidDel="00000000">
              <w:rPr>
                <w:rtl w:val="0"/>
              </w:rPr>
              <w:t xml:space="preserve"> atbalstu viena vienota uzņēmuma līmenī nedrīkst pārsniegt Komisijas regulas Nr. </w:t>
            </w:r>
            <w:r w:rsidR="00000000" w:rsidRPr="00000000" w:rsidDel="00000000">
              <w:rPr>
                <w:rtl w:val="0"/>
              </w:rPr>
              <w:t xml:space="preserve">​</w:t>
            </w:r>
            <w:r w:rsidR="00000000" w:rsidRPr="00000000" w:rsidDel="00000000">
              <w:rPr>
                <w:rtl w:val="0"/>
              </w:rPr>
              <w:t xml:space="preserve">2023/2831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85.punkta redakciju, lai nodrošinātu atbilstību Komisijas regulas Nr.2023/2831 3.panta 2.punktā lietotajam formulējumam, ka de minimis atbalsta kopsummu kopā ar plānoto ir jāpārbauda pēdējo trīs gadu periodā, skaitot no de minimis atbalsta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anotāciju ar informāciju par to, ka Komisijas regulas Nr.2023/2831 ietvaros trīs gadu laikposms ir jāvērtē kā slīdošs periods un attiecībā uz katru jaunu de minimis atbalsta piešķiršanu jāņem vērā de minimis atbalsta kopsumma, kas piešķirta iepriekšējos trīs gados, norādot, ka ar trīs gadu periodu saprotams laika periods no konkrēta datuma, kad piešķirts pēdējais atbalsts līdz konkrētam datumam,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Korektas attiecīgā nosacījuma redakcijas piemēru aicinām skatīt, piemēram, 24-TA-132 "Grozījumi Ministru kabineta 2024. gada 9. janvāra noteikumos Nr.33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 (redakcija, kas tiek virzīta izskatīšanai MK).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iebildumu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Vienam de minimis atbalsta saņēmējam plānotais de minimis atbalsta apmērs kopā ar iepriekšējos trijos gados no atbalsta piešķiršanas dienas piešķirto de minimis atbalstu viena vienota uzņēmuma līmenī nepārsniedz Komisijas regulas Nr. 2023/2831 3. panta 2. punktā noteikto maksimālo de minimis atbalsta apmēru.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Atbilstoši Komisijas regulas Nr. </w:t>
            </w:r>
            <w:r w:rsidR="00000000" w:rsidRPr="00000000" w:rsidDel="00000000">
              <w:rPr>
                <w:rtl w:val="0"/>
              </w:rPr>
              <w:t xml:space="preserve">​</w:t>
            </w:r>
            <w:r w:rsidR="00000000" w:rsidRPr="00000000" w:rsidDel="00000000">
              <w:rPr>
                <w:rtl w:val="0"/>
              </w:rPr>
              <w:t xml:space="preserve">​2023/2831 6. panta 4. punktam informācijas pieejamība tiek nodrošināta šādā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Nr.2023/2831 6.panta 3.punkts nosaka, ka "</w:t>
            </w:r>
            <w:r w:rsidR="00000000" w:rsidRPr="00000000" w:rsidDel="00000000">
              <w:rPr>
                <w:i w:val="1"/>
                <w:rtl w:val="0"/>
              </w:rPr>
              <w:t xml:space="preserve">Dalībvalstis reģistrēto informāciju par de minimis atbalstu glabā 10 gadus no atbalsta piešķiršanas dienas</w:t>
            </w:r>
            <w:r w:rsidR="00000000" w:rsidRPr="00000000" w:rsidDel="00000000">
              <w:rPr>
                <w:rtl w:val="0"/>
              </w:rPr>
              <w:t xml:space="preserve">", taču vienlaikus Komisijas regulas Nr. 2023/2831 6. panta 7. punkts nosaka, ka “</w:t>
            </w:r>
            <w:r w:rsidR="00000000" w:rsidRPr="00000000" w:rsidDel="00000000">
              <w:rPr>
                <w:i w:val="1"/>
                <w:rtl w:val="0"/>
              </w:rPr>
              <w:t xml:space="preserve">pēc rakstiska Komisijas pieprasījuma attiecīgā dalībvalsts 20 darbdienu laikā vai tādā ilgākā laikposmā, kāds noteikts pieprasījumā, sniedz Komisijai visu informāciju, kuru Komisija uzskata par vajadzīgu, lai novērtētu, vai šīs regulas nosacījumi ir izpildīti, un jo īpaši informāciju par uzņēmuma saņemto de minimis atbalsta kopsummu šīs regulas un citu de minimis regulu nozīmē</w:t>
            </w:r>
            <w:r w:rsidR="00000000" w:rsidRPr="00000000" w:rsidDel="00000000">
              <w:rPr>
                <w:rtl w:val="0"/>
              </w:rPr>
              <w:t xml:space="preserve">”, pastāv gadījumi, ka Eiropas Komisija, ievērojot Padomes Regulā (ES) 2015/1589 (2015. gada 13. jūlijs), ar ko nosaka sīki izstrādātus noteikumus Līguma par Eiropas Savienības darbību 108. panta piemērošanai (kodificēta redakcija) (jeb Procesuālā regula) noteikto 10 gadu noilguma periodu saistībā ar nelikumīga un nesaderīga komercdarbības atbalsta atgūšanu, var pieprasīt </w:t>
            </w:r>
            <w:r w:rsidR="00000000" w:rsidRPr="00000000" w:rsidDel="00000000">
              <w:rPr>
                <w:rtl w:val="0"/>
              </w:rPr>
              <w:t xml:space="preserve">dalībvalstīm iesniegt informāciju, kas pārsniedz Komisijas regulas Nr.2023/2831 6.panta 1.punktā ietverto informācijas apjomu, lūdzam precizēt noteikumu 98.punktā minēto atsauci, norādot sasaisti ar Komisijas regulas Nr.2023/2831 6.panta 3.punktu un Komisijas regulas Nr.2023/2831 6.panta 7.punktu, vai arī dzēst noteikumu 98.punktā ietverto atsauci uz Komisijas regulas Nr.2023/2831 panta punktiem, atstājot vienkārši nosacījumu par pienākumu nodrošināt informācijas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iebildumu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Informācijas pieejamība tiek nodrošināta šādā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1. pielikuma finansējuma ailē izteikt pareizu investīcijas finansējuma summu, norādot tikai AF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labots, norādot tikai AF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valsts budžeta finansējumu pievienotās vērtības nodokļa izmaksu segšanai otrās kārtas projektu īstenotājiem, lūdzam nodrošināt identisku pieeju un iespējas arī pirmās kārtas projektu īstenotāju pievienotās vērtības nodokļa izmaksu segšanai.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Ekonomikas ministrija turpina darbu pie iesējas rašanas, lai pievienotās vērtības nodokļa izmaksas investīcijas ietvaros tiktu attiecinātas no VB.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1.pielikuma tabula "Vērtēšanas kritēriji" attiecībā uz Finansējumu papildināta par valsts budžeta finansējumu pievienotās vērtības nodokļa (PVN) segšanai, kā arī anotācijas  3. sadaļā "Tiesību akta projekta ietekme uz valsts budžetu un pašvaldību budžetiem" aiz tabulas kā cita informācija norādīts, ka PVN izmaksas segs no valsts budžeta līdzekļiem. Savukārt anotācijas 1.3. sadaļā nav sniegta informācija, kāpēc PVN izmaksas jāsedz no valsts budžeta līdzekļiem. Tādējādi skaidrības labad, lūdzam papildināt anotācijas 1.3. sadaļu, paskaidrojot pēc būtības, kāpēc nepieciešams valsts budžeta finansējums PVN segšanai, proti, kādi ir veiktie darījumi, kas ir darījumu veicēji un kādos gadījumos PVN izmaksas jāsedz no valsts budžeta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pielikums, norādot tikai AF finansējumu, kā arī precizēta anotācija, izņemot informāciju no Valsts budžeta sadaļas. Šajos noteikumu grozījumos Ekonomikas ministrija nevirza PVN attiecināšanu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ka projekta vadības izmaksas tiek noteiktas 20% apmērā no projekta apstiprinātā finansējuma. Ņemot vērā, ka saistības attiecībā uz projekta vadību projekta īstenotājs uzņem projekta īstenošanas sākumā un tās saistītas ar mērķtiecīgu projekta rezultātu sasniegšanu, tas mazina risku, ka gadījumos, ja projekta īstenotājam ir iespējams realizēt atsevišķas projekta mācību darbības efektīvāk un ar zemākām izmaksām, šāda pieeja rada finanšu zaudējuma riskus pašam īstenotājam.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iepazinusies ar piedāvāto priekšlikumu, tomēr norādām, ka projekta vadības izmaksas netiek noteiktas no projekta apstiprinātajām izmaksām, bet gan no kopējām projekta izmaksām, kā tas minēts 53.punktā.  Attiecībā uz 20% ierobežojumu projekta vadības izmaksām, projekta noslēgumā faktiskā projekta vadības izmaksu kopsumma un tās procentuālais īpatsvars būtu skatāms kopsakarā ar sasniegto rādītāju apjomu un iemesliem, kāpēc projekta faktiskā kopējā attiecināmo izdevumu summa ir samazinājusies. Piemēram, pie projekta iesnieguma apstiprinātais apjoms projekta vadības izmaksām (20%) nebūtu samazināms ja, piemēram, projekta īstenošanas laikā atsevišķiem mācību kursiem izveidosies ietaupījums, tādējādi samazinot kopējās projekta izmaksas. Līdz ar to projekta vadības ierobežojums 20% apmērā jāvērtē un jāaprēķina projekta īstenošanas laikā, attiecībā pret citām projekta izmaksu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precizēto Ministru kabineta noteikumu projektu 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 (ID 24-TA-111) (turpmāk – Projekts) un paužam priekšlikumu 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informāciju Projekta anotācijā, saglabājot informāciju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Papildus, MK noteikumu 53. punktā norādītā redakcija nosaka, ka projekta vadības izmaksas, tai skaitā darba devēja valsts sociālās apdrošināšanas obligātās iemaksas, nepārsniedz 20% no kopējām projekta iesniegumā apstiprinātajām izmaksām. Ar MK noteikumu projekta anotāciju tiek skaidrots, ka esošā redakcija par 20% ierobežojumu paliek spēkā. Jāņem vērā, ka attiecībā uz 20% ierobežojumu projekta vadības izmaksām, projekta noslēgumā faktiskā projekta vadības izmaksu kopsumma un tās procentuālais īpatsvars ir skatāms kopsakarā ar sasniegto rādītāju un apgūtā finansējuma apjomu, ņemot vērā ANM ieviešanas nosacījumus. Piemēram, pie projekta iesnieguma apstiprinātais apjoms projekta vadības izmaksām (20%) nebūtu samazināms ja, piemēram, projekta īstenošanas laikā atsevišķiem mācību kursiem izveidosies ietaupījums, tādējādi samazinot kopējās projekta izmaksas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Attiecīgi aicinām dzēst šobrīd Projekta anotācijā piedāvātās redakcijas rindkopas beigu teikumu:</w:t>
            </w:r>
            <w:r w:rsidR="00000000" w:rsidRPr="00000000" w:rsidDel="00000000">
              <w:rPr>
                <w:rtl w:val="0"/>
              </w:rPr>
              <w:t xml:space="preserve"> “</w:t>
            </w:r>
            <w:r w:rsidR="00000000" w:rsidRPr="00000000" w:rsidDel="00000000">
              <w:rPr>
                <w:i w:val="1"/>
                <w:rtl w:val="0"/>
              </w:rPr>
              <w:t xml:space="preserve">Līdz ar to projekta vadības ierobežojums 20% apmērā jāvērtē un jāaprēķina projekta īstenošanas laikā, attiecībā pret citām projekta izmaksu pozīcijām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precizējusi anotācijas 1.3. sadaļas 8. punkta pēdējo rindkopu, svītrojot teikumu “Līdz ar to projekta vadības ierobežojums 20% apmērā jāvērtē un jāaprēķina projekta īstenošanas laikā, attiecībā pret citām projekta izmaksu pozīcijām.”, tādējādi novēršot atkārtošanos.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anotācijā skaidrot projekta 34. punkta (noteikumu 44.</w:t>
            </w:r>
            <w:r w:rsidR="00000000" w:rsidRPr="00000000" w:rsidDel="00000000">
              <w:rPr>
                <w:vertAlign w:val="superscript"/>
                <w:rtl w:val="0"/>
              </w:rPr>
              <w:t xml:space="preserve">1 </w:t>
            </w:r>
            <w:r w:rsidR="00000000" w:rsidRPr="00000000" w:rsidDel="00000000">
              <w:rPr>
                <w:rtl w:val="0"/>
              </w:rPr>
              <w:t xml:space="preserve">punkts) nepieciešamību un mērķi. Proti, aicinām ne tikai vispārīgi norādīt, kāda norma noteikumos tiek ietverta, bet arī skaidrot, kādēļ attiecīga norma ietverta un kādu problēmu un kā tā atrisina. Vēršam uzmanību, ka anotācijā nepieciešams nevis vienkārši citēt, bet pamatot noteikumu grozījumus, skaidrojot to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skaidrojusi nepieciešamību un mērķi anotācijas 1.3. sadaļas 4. punktā, sniedzot skaidrojumu, ka "(..) ar MK noteikumu projektu tiek noteikts, ka, ja otrās atlases kārtas ietvaros projekta iesniedzējs ir augstākās izglītības iestāde, kas darbojas atbilstoši Izglītības likumam un Zinātniskās darbības likumam, un uz to nav attiecināmas Komercdarbības atbalsta kontroles likuma 5. panta komercdarbības atbalstu raksturojošām pazīmes, tad komercdarbības atbalsta regulējums finansējuma saņēmēja izmaksām, kas minētas MK noteikumu Nr.529 44.1. apakšpunktā, nav piemērojamas."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priekšlikumus attiecībā uz programmas ieviešanu un projekta vadības izmaksu regulējumu, aicinām izvērtēt valsts atbalsta nodrošinājumu de minimis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īstenotāji ir asociācijas, kas sniedz atbalstu visai nozarei, nevis konkrētiem komersantiem. Aicinām izvērtēt arī alternatīvus citus valsts atbalsta formas risinājumus vai vērtēt iespēju tomēr tādām darbībām, kas saistītas ar administrēšanu (piemēram, projekta vadība) un tiešā veidā neietekmē nozares komersantu konkurētspējas izmaiņas (kas ir regulas mērķis), pārvērtēt atbilstību valsts atbalsta definējumam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izmaksas (t.sk. projekta īstenošanas un ārpakalpojuma izmaksas) sedz saskaņā Komisijas 2013. gada 18. decembra Regulu (ES) Nr.  2023/2831 par Līguma par Eiropas Savienības darbību 107. un 108. panta piemērošanu de minimis atbalstam un tas uzskatāms par komercdarbības atbalstu finansējuma saņēmējam. Finansējuma saņēmēja vadības izmaksām var nepiemērot komercdarbības atbalstu, ja projekta vadība, piemēram, projekta vadītājs, jurists, grāmatvedis, tiek nodrošināta ārpakalpojumā, nodrošinot pārredzamu, atklātu un nediskriminējošu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Ekonomikas ministrija turpina darbu pie iespēju rašanas šajā investīcijā piesaistīt valsts budžet finansējumu, priekšlikumu ņemam vērā, tomēr šo grozījumu ietvaros šo neizskatām.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noteikumu projekta 29. un 33. punktā ietverto grozījumu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PVN summu papildināt protokollēmu, kā arī informāciju par to iekļaut arī anotācijā. Vienlaikus nevaram piekrist, ka PVN ir aprēķināms no visas AF finansējuma summas, jo izņēmums ir jāattiecina tikai uz finansējuma saņēmējiem (EDIC un augstskolām) izdevumiem, nevis uz gala labuma guvējiem. Lūdzam atbilstoši precizēt MK noteikumu projektu, anotāciju, kā arī citus dokumentus.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šajā noteikumu grozījumu versijā veikti labojumi, netiek attiecinātas PVN izmaksas no Valsts budžeta. Attiecīgi precizēts 1. pielikums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skaidrojumu par izmaksu nošķiršanu (atbilstoši grozījumiem MK noteikumu 81.punktā), kā arī papildināt ar praktisko piemēru kā nosakāms trīs gadu laika posms, norādot, ka ar trīs gadu periodu saprotams laika periods no konkrēta datuma, kad piešķirts pēdējais atbalsts līdz konkrētam datumam,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2013.gada 18.decembra Regula Nr.1407/2013 par Līguma par Eiropas Savienības darbību 107.un 108.panta piemērošanu de minimis atbalstam (turpmāk – Komisijas Regula Nr.1407/2013) ir piemērojama līdz 2023.gada 31.decembrim, taču saskaņā ar Komisijas Regulas Nr.1407/2013 7.panta 4.punktu, pēc šīs regulas spēkā esības perioda beigām jebkurai de minimis atbalsta shēmai, kas atbilst šīs regulas nosacījumiem, </w:t>
            </w:r>
            <w:r w:rsidR="00000000" w:rsidRPr="00000000" w:rsidDel="00000000">
              <w:rPr>
                <w:u w:val="single"/>
                <w:rtl w:val="0"/>
              </w:rPr>
              <w:t xml:space="preserve">šī regula ir piemērojama vēl sešus turpmākos mēnešus</w:t>
            </w:r>
            <w:r w:rsidR="00000000" w:rsidRPr="00000000" w:rsidDel="00000000">
              <w:rPr>
                <w:rtl w:val="0"/>
              </w:rPr>
              <w:t xml:space="preserve">, lūdzam precizēt anotācijas 1.3.sadaļā sniegto informāciju, kas saistīta ar Komisijas Regulas Nr.1407/2013 darbību "</w:t>
            </w:r>
            <w:r w:rsidR="00000000" w:rsidRPr="00000000" w:rsidDel="00000000">
              <w:rPr>
                <w:i w:val="1"/>
                <w:rtl w:val="0"/>
              </w:rPr>
              <w:t xml:space="preserve">Komisijas 2013. gada 18. decembra Regula (ES) Nr. 1407/2013 par Līguma par Eiropas Savienības darbību 107. un 108. panta piemērošanu de minimis atbalstam (Eiropas Savienības Oficiālais Vēstnesis, 2013. gada 24. decembris, Nr. L 352/1) (turpmāk – Komisijas Regula Nr. 1407/2013) ar 2023.gada 31.decembri zaudēja spēku[..]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palielināta </w:t>
            </w:r>
            <w:r w:rsidR="00000000" w:rsidRPr="00000000" w:rsidDel="00000000">
              <w:rPr>
                <w:i w:val="1"/>
                <w:rtl w:val="0"/>
              </w:rPr>
              <w:t xml:space="preserve">de minimis</w:t>
            </w:r>
            <w:r w:rsidR="00000000" w:rsidRPr="00000000" w:rsidDel="00000000">
              <w:rPr>
                <w:rtl w:val="0"/>
              </w:rPr>
              <w:t xml:space="preserve"> atbalsta kopsumma, kas saskaņā ar Komisijas Regulas Nr. 2023/2831 3.panta otro daļu var sasniegt 300 000 </w:t>
            </w:r>
            <w:r w:rsidR="00000000" w:rsidRPr="00000000" w:rsidDel="00000000">
              <w:rPr>
                <w:i w:val="1"/>
                <w:rtl w:val="0"/>
              </w:rPr>
              <w:t xml:space="preserve">euro </w:t>
            </w:r>
            <w:r w:rsidR="00000000" w:rsidRPr="00000000" w:rsidDel="00000000">
              <w:rPr>
                <w:rtl w:val="0"/>
              </w:rPr>
              <w:t xml:space="preserve">apmēru, lūdzam sniegt skaidrojumu, vai šis palielinājums rada ietekmi uz šo noteikumu 9.1.2.apakšpunktā noteiktā rādītāja "To uzņēmumu skaits, kuriem ir nodrošināta digitālo pamatprasmju apguve" sasniedzamo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MK noteikumu Nr.529 53.punktā veicamos grozījumu ietekmi uz finansējuma saņēmēju, jo ar šo grozījumu tiek sašaurināta aprēķina bāze (spēkā esošā norma paredz 20% no visa projekta, bet grozījumi - 20% no AF finansējuma), līdz ar to samazināts projekta ietvaros paredzētais vadības izmaksu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anotācijas 1.3.sadaļu ar izvērtējumu par grozījumu ietekmi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īstenošanā esošajiem projektiem, t.i., vai būs nepieciešami grozījumi noslēgtajos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iesniegumiem, kuri atrodas 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iesniegtiem projektu iesniegumiem, kuru vērtēšana vēl nav uzsākta;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projektu iesniegumiem, kas vēl nav iesniegti, taču tiek izstrādāti izsludinātās projektu iesniegumu atlases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jābūt ietvertai arī informācijai, ka ir plānota visu projektu iesniedzēju informēšana par grozījumiem, pēc to apstiprināšanas MK un grozījumu ietekmi uz to plānotajiem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īstenošanā esošajiem projektiem, anotācijā jābūt ietvertai informācijai, ka tiks izvērtēta nepieciešamība veikt grozījumus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Gaidījumos, kad ierosinātajiem grozījumiem nav ietekmes uz atlases kārtu, šai informācijai arī ir jābūt iekļautai anotācijā, lai nodrošinātu liecības, ka grozījumu ietekmes izvērtējums ir veikts un ir nodrošinātas audita liecības informācijas izsekojamībai.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sniegta informācija par nepieciešamo valsts budžeta finansējumu pievienotās vērtības nodokļa segšanai ne vairāk kā 1 394 222 euro apmērā, vienlaikus anotācijas 3.sadaļā nav atspoguļota projekta ietekme uz valsts budžetu, kā arī sniegts skaidrojums un pamatojums pievienotās vērtības nodokļa segšanai no valsts budžeta līdzekļiem plānotajiem finansējuma saņēmējiem.  Ņemot vērā minēto, ja tiek paredzēts segt pievienotās vērtības nodokli no valsts budžeta līdzekļiem, tad attiecīgi  2., 2.1., 3., 3.1., 5. un 5.1. punktā izmaiņu ailēs jānorāda tam nepieciešamā finansējuma apmērs, 6.punktā jāsniedz detalizēts aprēķins, kā arī informāciju punktā “Cita informācija” jāizsaka šādā redakcijā: “Nepieciešamo finansējumu pievienotās vērtības nodokļa segšanai Finanšu ministrija lūgs pārdalīt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1.pielikumā un anotācijā. Šajā noteikumu grozījuma versijā netiek virzīta pievienotās vērtības nodokļa attiecināšana no valsts budžeta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tehniski precizēt anotācijas 5.4. sadaļas 1. tabulu, tabulas B ailē korekti norādot arī uz projekta vienībām un papildus, ja nepieciešams, norādot uz attiecīgajām noteikumu vienībām (piemēram, </w:t>
            </w:r>
            <w:r w:rsidR="00000000" w:rsidRPr="00000000" w:rsidDel="00000000">
              <w:rPr>
                <w:u w:val="single"/>
                <w:rtl w:val="0"/>
              </w:rPr>
              <w:t xml:space="preserve">projekta</w:t>
            </w:r>
            <w:r w:rsidR="00000000" w:rsidRPr="00000000" w:rsidDel="00000000">
              <w:rPr>
                <w:rtl w:val="0"/>
              </w:rPr>
              <w:t xml:space="preserve"> 57. punkts (</w:t>
            </w:r>
            <w:r w:rsidR="00000000" w:rsidRPr="00000000" w:rsidDel="00000000">
              <w:rPr>
                <w:u w:val="single"/>
                <w:rtl w:val="0"/>
              </w:rPr>
              <w:t xml:space="preserve">noteikumu</w:t>
            </w:r>
            <w:r w:rsidR="00000000" w:rsidRPr="00000000" w:rsidDel="00000000">
              <w:rPr>
                <w:rtl w:val="0"/>
              </w:rPr>
              <w:t xml:space="preserve"> 85.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precizējusi anotācijas 5.4. sadaļas 1. tabulu atbilstoši noteikuma projekta un MK noteikumu konsolidētās versijas numerācijai.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5.4. sadaļas 1. tabulā izsmeļoši norādīt uz Eiropas Komisijas 2023. gada 13. decembra Regulas Nr. 2023/2831 par Līguma par Eiropas Savienības darbību 107. un 108. panta piemērošanu de minimis atbalstam vienībām (prasībām), kuras tiek ieviestas ar noteikumu projektu. Norādām, ka minētās prasības ir ieviestas arī noteikumu projekta 3., 39., 41., 42., 46., 47., 52. un 55. punktā, par ko 1. tabulā nav sniegta informācija. Kā arī lūdzam tehniski precizēt un 5.4. sadaļas 1. tabulas B ailē norādīt arī uz noteikumu projekta vienībām, nevis vienīgi uz noteikumu Nr. 529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5.4. sadaļas 1.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veikti grozījumi MK noteikumos attiecībā uz Komisijas regulas Nr.2023/2831 nosacījumiem, aicinām aizpildīt anotācijas 5.sadaļu par tiesību akta projekta atbilstību ES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tabula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noteikumu projekta anotācijas 5.4. sadaļas 1. tabulu ar skaidrojumu par konkrētu Eiropas Komisijas 2023. gada 13. decembra Regulas Nr. 2023/2831 par Līguma par Eiropas Savienības darbību 107. un 108. panta piemērošanu de minimis atbalstam (turpmāk - regula Nr. 2023/2831)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tas atbilst komercdarbības atbalsta nosacījumiem saskaņā ar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un 5. nodaļā minētajiem </w:t>
            </w:r>
            <w:r w:rsidR="00000000" w:rsidRPr="00000000" w:rsidDel="00000000">
              <w:rPr>
                <w:i w:val="1"/>
                <w:rtl w:val="0"/>
              </w:rPr>
              <w:t xml:space="preserve">de minimis</w:t>
            </w:r>
            <w:r w:rsidR="00000000" w:rsidRPr="00000000" w:rsidDel="00000000">
              <w:rPr>
                <w:rtl w:val="0"/>
              </w:rPr>
              <w:t xml:space="preserve"> 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MKN 25.punktā nav minēti komercdarbības atbalsta nosacījumi, bet gan izslēgšanas kritēriji, līdz ar to no šī MKN 16.3.apakšpunkta ir jādzēš atsauce uz 25.punktu.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Dzēsta atsauce uz 25.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tas atbilst komercdarbības atbalsta nosacījumiem saskaņā ar šo noteikumu 5. nodaļā minētajiem </w:t>
            </w:r>
            <w:r w:rsidR="00000000" w:rsidRPr="00000000" w:rsidDel="00000000">
              <w:rPr>
                <w:i w:val="1"/>
                <w:rtl w:val="0"/>
              </w:rPr>
              <w:t xml:space="preserve">de minimis</w:t>
            </w:r>
            <w:r w:rsidR="00000000" w:rsidRPr="00000000" w:rsidDel="00000000">
              <w:rPr>
                <w:rtl w:val="0"/>
              </w:rPr>
              <w:t xml:space="preserve"> atbalsta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tas atbilst šo noteikumu 25.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vienādot noteikumu 16.6. apakšpunkta (projekta 15. punkts) un 20.6. apakšpunkta (projekta 17. punkts) izteiksmi, nodrošinot konsekventu regulējumu. Papildus aicinām izvēlēties tādu normas formulējumu, ka ir nepārprotami skaidrs, ka projekta iesnieguma iesniedzējs </w:t>
            </w:r>
            <w:r w:rsidR="00000000" w:rsidRPr="00000000" w:rsidDel="00000000">
              <w:rPr>
                <w:u w:val="single"/>
                <w:rtl w:val="0"/>
              </w:rPr>
              <w:t xml:space="preserve">atbilst</w:t>
            </w:r>
            <w:r w:rsidR="00000000" w:rsidRPr="00000000" w:rsidDel="00000000">
              <w:rPr>
                <w:rtl w:val="0"/>
              </w:rPr>
              <w:t xml:space="preserve"> noteikumu 25. punktam (proti, uz to </w:t>
            </w:r>
            <w:r w:rsidR="00000000" w:rsidRPr="00000000" w:rsidDel="00000000">
              <w:rPr>
                <w:u w:val="single"/>
                <w:rtl w:val="0"/>
              </w:rPr>
              <w:t xml:space="preserve">neattiecas</w:t>
            </w:r>
            <w:r w:rsidR="00000000" w:rsidRPr="00000000" w:rsidDel="00000000">
              <w:rPr>
                <w:rtl w:val="0"/>
              </w:rPr>
              <w:t xml:space="preserve"> neviens no 25.1.-25.4. apakšpunktā minētajiem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veikusi tehniskus precizējumus MK noteikumu 16.6. un 20.6. apakšpunktā, skaidrāk nosakot, ka pirmās un otrās atlases kārtas ietvaros projekta iesnieguma iesniedzējs atbilst MK noteikumu Nr. 529 25. punktā minētajiem nosacījumiem (t.i. uz to nav attiecināms neviens no minētajiem izslēgšanas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tas atbilst šo noteikumu </w:t>
            </w:r>
            <w:r w:rsidR="00000000" w:rsidRPr="00000000" w:rsidDel="00000000">
              <w:rPr>
                <w:rtl w:val="0"/>
              </w:rPr>
              <w:t xml:space="preserve">25. </w:t>
            </w:r>
            <w:r w:rsidR="00000000" w:rsidRPr="00000000" w:rsidDel="00000000">
              <w:rPr>
                <w:rtl w:val="0"/>
              </w:rPr>
              <w:t xml:space="preserve">punkta</w:t>
            </w:r>
            <w:r w:rsidR="00000000" w:rsidRPr="00000000" w:rsidDel="00000000">
              <w:rPr>
                <w:rtl w:val="0"/>
              </w:rPr>
              <w:t xml:space="preserve">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tā atbilst komercdarbības atbalsta nosacījumiem atbilstoši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un 5. nodaļā minētajiem </w:t>
            </w:r>
            <w:r w:rsidR="00000000" w:rsidRPr="00000000" w:rsidDel="00000000">
              <w:rPr>
                <w:i w:val="1"/>
                <w:rtl w:val="0"/>
              </w:rPr>
              <w:t xml:space="preserve">de minimis </w:t>
            </w:r>
            <w:r w:rsidR="00000000" w:rsidRPr="00000000" w:rsidDel="00000000">
              <w:rPr>
                <w:rtl w:val="0"/>
              </w:rPr>
              <w:t xml:space="preserve">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Kā arī lūdzam pārskatīt noteikumu projektu (noteikumus Nr. 529) un nodrošināt konsekventas atsauces uz šo noteikumu 25. punktu, jo atsevišķos gadījumos noteikumu projektā tiek norādīts uz 25. punktā ietvertajiem komercdarbības atbalsta nosacījumiem, bet noteikumu projekta 13. punktā atsauce ietverta uz 25. punktā noteiktajiem kritērijiem līdztekus atsaucei uz šo noteikumu 5. nodaļā minētajiem komercdarbības atbalsta nosacījumiem. Norādām, ka šobrīd no noteikumu projekta nav viennozīmīgi skaidrs, vai 25. punktā ietvertie izslēgšanas kritēriji arī ir uzskatāmi par komercdarbības atbalsta nosacījumiem (komercdarbības atbalsta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tā atbilst šo noteikumu 25. punktā minētajiem izslēgšanas kritērijiem un 5. nodaļā minētajiem komercdarbības 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tā atbilst šo noteikumu  5. nodaļā minētajiem komercdarbības atbalsta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tā atbilst komercdarbības atbalsta nosacījumiem atbilstoši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un 5. nodaļā minētajiem </w:t>
            </w:r>
            <w:r w:rsidR="00000000" w:rsidRPr="00000000" w:rsidDel="00000000">
              <w:rPr>
                <w:i w:val="1"/>
                <w:rtl w:val="0"/>
              </w:rPr>
              <w:t xml:space="preserve">de minimis </w:t>
            </w:r>
            <w:r w:rsidR="00000000" w:rsidRPr="00000000" w:rsidDel="00000000">
              <w:rPr>
                <w:rtl w:val="0"/>
              </w:rPr>
              <w:t xml:space="preserve">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MKN 25.punktā nav minēti komercdarbības atbalsta nosacījumi, bet gan izslēgšanas kritēriji, līdz ar to no šī MKN 20.8.apakšpunkta ir jādzēš atsauce uz 25.punktu.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tā atbilst šo noteikumu  5. nodaļā minētajiem komercdarbības atbalsta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Ja investīcijas otrās atlases kārtas ietvaros projekta iesnieguma iesniedzējs ir augstākās izglītības iestāde, tad jāatbilst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papildināts potenciālo projektu iesniedzēju loks, lūdzam pārskatīt noteikumu pielikumā pievienotos kritērijus - vēršam uzmanību, ka atsevišķi no tiem ir fokusēti uz biedrībām un nodibinājumiem (tostarp vispārīgās atbilstības kritērijs Nr. 2.1. un kvalitātes kritērijs Nr. 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grozījumu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Ja investīcijas otrās atlases kārtas ietvaros projekta iesnieguma iesniedzējs ir augstākās izglītības iestāde, tad jāatbilst šādiem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investīcijas pirmās kārtas ietvaros drīkst iesniegt vienu projekta iesniegumu. Otrās atlases kārtas ietvaros projekta iesniedzējs drīkst iesniegt vairākus projekta iesniegumus.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noteikumu 23.punktā ietverto grozījumu pamatojumu, sniedzot skaidrojumu, kāpēc otrās kārtas ietvaros projekta iesniedzējam tiek atļauts iesniegt vairākus projekta iesniegumus.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investīcijas pirmās atlases kārtas ietvaros drīkst iesniegt vienu projekta iesniegumu. Otrās atlases kārtas uzsaukumu ietvaros projekta iesniedzējs drīkst iesniegt vairākus projekta iesniegumus.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investīcijas pirmās kārtas ietvaros drīkst iesniegt vienu projekta iesniegumu. Otrās atlases kārtas ietvaros projekta iesniedzējs drīkst iesniegt vairākus projekta iesniegumus.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konsekventi atsaukties uz atlases kārtām, nevis vienkārši pirmo vai otro kārtu, nepieciešamības gadījumā atrunājot atbilstošu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investīcijas pirmās atlases kārtas ietvaros drīkst iesniegt vienu projekta iesniegumu. Otrās atlases kārtas uzsaukumu ietvaros projekta iesniedzējs drīkst iesniegt vairākus projekta iesniegumus.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biedrības biedru vai partneru sarakstu un to biedru vai partneru sarakstu, kas nav projekta iesniedzēja biedri, bet ir biedri kādā no organizācijām, kuras ir projekta iesniedzēja biedri, ja projekta iesniedzējs balstās uz šo organizāciju apgrozījumu šo noteikumu </w:t>
            </w:r>
            <w:r w:rsidR="00000000" w:rsidRPr="00000000" w:rsidDel="00000000">
              <w:rPr>
                <w:rtl w:val="0"/>
              </w:rPr>
              <w:t xml:space="preserve">20.4. </w:t>
            </w:r>
            <w:r w:rsidR="00000000" w:rsidRPr="00000000" w:rsidDel="00000000">
              <w:rPr>
                <w:rtl w:val="0"/>
              </w:rPr>
              <w:t xml:space="preserve"> apakšpunktā</w:t>
            </w:r>
            <w:r w:rsidR="00000000" w:rsidRPr="00000000" w:rsidDel="00000000">
              <w:rPr>
                <w:rtl w:val="0"/>
              </w:rPr>
              <w:t xml:space="preserve"> minētā rādītāja pamatošanai. Otrās atlases kārtas uzsaukuma ietvaros attiecas tikai uz biedrību kā projekta iesniedzēju;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biedrības biedru vai partneru sarakstu un to biedru vai partneru sarakstu, kas nav projekta iesniedzēja biedri, bet ir biedri kādā no organizācijām, kuras ir projekta iesniedzēja biedri, ja projekta iesniedzējs balstās uz šo organizāciju apgrozījumu šo noteikumu 20.4. apakšpunktā minētā rādītāja pamatošanai. Otrās atlases kārtas uzsaukuma ietvaros šis nosacījums attiecas tikai uz biedrību kā projekta iesniedzēju;"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Pieņemta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biedrības biedru vai partneru sarakstu un to biedru vai partneru sarakstu, kas nav projekta iesniedzēja biedri, bet ir biedri kādā no organizācijām, kuras ir projekta iesniedzēja biedri, ja projekta iesniedzējs balstās uz šo organizāciju apgrozījumu šo noteikumu </w:t>
            </w:r>
            <w:r w:rsidR="00000000" w:rsidRPr="00000000" w:rsidDel="00000000">
              <w:rPr>
                <w:rtl w:val="0"/>
              </w:rPr>
              <w:t xml:space="preserve">20.4. </w:t>
            </w:r>
            <w:r w:rsidR="00000000" w:rsidRPr="00000000" w:rsidDel="00000000">
              <w:rPr>
                <w:rtl w:val="0"/>
              </w:rPr>
              <w:t xml:space="preserve">apakšpunktā</w:t>
            </w:r>
            <w:r w:rsidR="00000000" w:rsidRPr="00000000" w:rsidDel="00000000">
              <w:rPr>
                <w:rtl w:val="0"/>
              </w:rPr>
              <w:t xml:space="preserve">  minētā rādītāja pamatošanai. Otrās atlases kārtas uzsaukuma ietvaros šis nosacījums attiecas tikai uz biedrību kā projekta iesniedzēju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biedrības biedru vai partneru sarakstu un to biedru vai partneru sarakstu, kas nav projekta iesniedzēja biedri, bet ir biedri kādā no organizācijām, kuras ir projekta iesniedzēja biedri, ja projekta iesniedzējs balstās uz šo organizāciju apgrozījumu šo noteikumu </w:t>
            </w:r>
            <w:r w:rsidR="00000000" w:rsidRPr="00000000" w:rsidDel="00000000">
              <w:rPr>
                <w:rtl w:val="0"/>
              </w:rPr>
              <w:t xml:space="preserve">20.4. </w:t>
            </w:r>
            <w:r w:rsidR="00000000" w:rsidRPr="00000000" w:rsidDel="00000000">
              <w:rPr>
                <w:rtl w:val="0"/>
              </w:rPr>
              <w:t xml:space="preserve"> apakšpunktā</w:t>
            </w:r>
            <w:r w:rsidR="00000000" w:rsidRPr="00000000" w:rsidDel="00000000">
              <w:rPr>
                <w:rtl w:val="0"/>
              </w:rPr>
              <w:t xml:space="preserve"> minētā rādītāja pamatošanai;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precizējumus MK notikumu Nr.529 39.punktā, nosakot, ka otrās kārtas ietvaros projekta iesniegumu var iesniegt gan biedrība, gan augstākās izglītības iestāde, lūdzam precizēt MK notikumu Nr.529 24.6.apakšpunktu, nosakot, ka šis apakšpunkts ir attiecināms tikai uz 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biedrības biedru vai partneru sarakstu un to biedru vai partneru sarakstu, kas nav projekta iesniedzēja biedri, bet ir biedri kādā no organizācijām, kuras ir projekta iesniedzēja biedri, ja projekta iesniedzējs balstās uz šo organizāciju apgrozījumu šo noteikumu </w:t>
            </w:r>
            <w:r w:rsidR="00000000" w:rsidRPr="00000000" w:rsidDel="00000000">
              <w:rPr>
                <w:rtl w:val="0"/>
              </w:rPr>
              <w:t xml:space="preserve">20.4. </w:t>
            </w:r>
            <w:r w:rsidR="00000000" w:rsidRPr="00000000" w:rsidDel="00000000">
              <w:rPr>
                <w:rtl w:val="0"/>
              </w:rPr>
              <w:t xml:space="preserve">apakšpunktā</w:t>
            </w:r>
            <w:r w:rsidR="00000000" w:rsidRPr="00000000" w:rsidDel="00000000">
              <w:rPr>
                <w:rtl w:val="0"/>
              </w:rPr>
              <w:t xml:space="preserve">  minētā rādītāja pamatošanai. Otrās atlases kārtas uzsaukuma ietvaros šis nosacījums attiecas tikai uz biedrību kā projekta iesniedzēju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attiecībā uz finansējuma saņēmēju, otrās atlases kārtas izmaksas,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nodrošinot vienveidīgu izteiksmi un izvairoties no atkārtotas norādes uz otro atlases 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attiecībā uz finansējuma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attiecībā uz finansējuma saņēmēju iekļauj:</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44.1.2. projekta vadības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Nr. 529 44.1.2. apakšpunkta ievaddaļu, jo projekta vadības izmaksas neveido cita starpā projekta īstenošanas personāla izmaksas, bet projekta īstenošanas personāla izmaksas veido atsevišķu izmaksu pozīciju.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iepazinušies ar priekšlikumu, to izvērtējuši, taču 44.1.2. un 44.1.2.1. atstājam esošajā redakcijā, jo uzskatām, ka noteikumu ietvaros projekta vadības izmaksas un projekta vadības un īstenošanas izmaksas ir nodalāmas, līdz ar to atstājam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44.1.2. projekta vadības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Ja otrās atlases kārtas ietvaros projekta iesniedzējs ir augstākās izglītības iestāde, kas darbojas atbilstoši Izglītības likumam un Zinātniskās darbības likumam, tad komercdarbības atbalsta regulējums finansējuma saņēmēja izmaksām, kas minētas šo noteikumu </w:t>
            </w:r>
            <w:r w:rsidR="00000000" w:rsidRPr="00000000" w:rsidDel="00000000">
              <w:rPr>
                <w:rtl w:val="0"/>
              </w:rPr>
              <w:t xml:space="preserve">44.1. </w:t>
            </w:r>
            <w:r w:rsidR="00000000" w:rsidRPr="00000000" w:rsidDel="00000000">
              <w:rPr>
                <w:rtl w:val="0"/>
              </w:rPr>
              <w:t xml:space="preserve">apakšpunktā</w:t>
            </w:r>
            <w:r w:rsidR="00000000" w:rsidRPr="00000000" w:rsidDel="00000000">
              <w:rPr>
                <w:rtl w:val="0"/>
              </w:rPr>
              <w:t xml:space="preserve"> ,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29. punktā konkretizēt, kas ir domāts ar komercdarbības atbalsta regulējumu, atsaucoties uz konkrētām šo noteikumu vienībām, kas paredz komercdarbības atbalsta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labots attiecīgi izteiktajam priekšlikumam. Norādīta atsauce uz 5.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Ja otrās atlases kārtas ietvaros projekta iesniedzējs ir augstākās izglītības iestāde, kas darbojas atbilstoši Izglītības likumam un Zinātniskās darbības likumam, tad komercdarbības atbalsta regulējums, kas noteikts šo noteikumu 5.nodaļā,  finansējuma saņēmēja izmaksām, kas minētas šo noteikumu </w:t>
            </w:r>
            <w:r w:rsidR="00000000" w:rsidRPr="00000000" w:rsidDel="00000000">
              <w:rPr>
                <w:rtl w:val="0"/>
              </w:rPr>
              <w:t xml:space="preserve">44.1. </w:t>
            </w:r>
            <w:r w:rsidR="00000000" w:rsidRPr="00000000" w:rsidDel="00000000">
              <w:rPr>
                <w:rtl w:val="0"/>
              </w:rPr>
              <w:t xml:space="preserve">apakšpunktā</w:t>
            </w:r>
            <w:r w:rsidR="00000000" w:rsidRPr="00000000" w:rsidDel="00000000">
              <w:rPr>
                <w:rtl w:val="0"/>
              </w:rPr>
              <w:t xml:space="preserve"> , nav piemērojams.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kopējām projekta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papildus interpretācijas šī MK noteikuma punkta piemērošanā, lūdzam papildināt Anotāciju, norādot, ka attiecībā uz 20% ierobežojumu projekta vadības izmaksām, projekta noslēgumā faktiskā projekta vadības izmaksu kopsumma un tās procentuālais īpatsvars būtu skatāms kopsakarā ar sasniegto rādītāju apjomu un iemesliem, kāpēc projekta faktiskā kopējā attiecināmo izdevumu summa ir samazinājusies. Piemēram, pie projekta iesnieguma apstiprinātais apjoms projekta vadības izmaksām (20%) nebūtu samazināms ja, piemēram, projekta īstenošanas laikā atsevišķiem mācību kursiem izveidosies ietaupījums, tādējādi samazinot kopējās projekta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anotācija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kopējām projekta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Atveseļošanās noturības mehānisma plāna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53.punktā ietvertie grozījumi ir nelabvēlīgi finansējuma saņēmējiem, attiecīgi lūdzam dzēst noteikumu 53.punktā ietvertos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kopējām projekta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Atveseļošanās noturības mehānisma plāna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3. punktā svītrot norādi uz Atveseļošanās noturības mehānisma plānu, jo minētais plāns ir apstiprināts ar rīkojumu un līdz ar to atbilstoši indivīda pamattiesībām zināt savas tiesības noteikumu projektā nav pieļaujams noteikt privātpersonai ierobežojumu, kura apmērs nav noteikts ārējā normatīvajā aktā. Vienlaikus vēršam uzmanību, ka norāde uz Atveseļošanās noturības mehānisma plāna finansējumu kopumā ir pārāk plaša un vispārīga, iespējams, domāta varētu būt attiecīgā projekta kopējais Atveseļošanās noturības mehānisma plāna finansējums, tādēļ nepieciešams konkrētāk norādīt, par kādu finansējumu noteikumu projekta 3. punktā ir runa. Konkretizējot finansējumu, nepieciešams ņemt vērā arī grozīto Ministru kabineta noteikumu 54. punktu, kas noteic, ka izmaksas, kas nav saistītas ar apmācību un ar tām saistītā personāla izmaksām, nepārsniedz 20 % no kopējām projekta iesniegumā apstiprinātajām izmaksām (proti, 54. punkts varētu būt pretrunā ar 53. punktu noteikumu projekta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projekta kopējām izmaksām" vai "53. Projekta vadības izmaksas, tai skaitā darba devēja valsts sociālās apdrošināšanas obligātās iemaksas, nepārsniedz 20 % no projektam piešķirtā Atveseļošanās noturības mehānisma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kopējām projekta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nodokļi, tai skaitā pievienotās vērtības nodoklis, muitas nodokļi, nodevas un soda maksājumi, izņemot šo noteikumu </w:t>
            </w:r>
            <w:r w:rsidR="00000000" w:rsidRPr="00000000" w:rsidDel="00000000">
              <w:rPr>
                <w:rtl w:val="0"/>
              </w:rPr>
              <w:t xml:space="preserve">44.2.6.</w:t>
            </w:r>
            <w:r w:rsidR="00000000" w:rsidRPr="00000000" w:rsidDel="00000000">
              <w:rPr>
                <w:rtl w:val="0"/>
              </w:rPr>
              <w:t xml:space="preserve"> apakšpunktā</w:t>
            </w:r>
            <w:r w:rsidR="00000000" w:rsidRPr="00000000" w:rsidDel="00000000">
              <w:rPr>
                <w:rtl w:val="0"/>
              </w:rPr>
              <w:t xml:space="preserve"> un </w:t>
            </w:r>
            <w:r w:rsidR="00000000" w:rsidRPr="00000000" w:rsidDel="00000000">
              <w:rPr>
                <w:rtl w:val="0"/>
              </w:rPr>
              <w:t xml:space="preserve">53.</w:t>
            </w:r>
            <w:r w:rsidR="00000000" w:rsidRPr="00000000" w:rsidDel="00000000">
              <w:rPr>
                <w:rtl w:val="0"/>
              </w:rPr>
              <w:t xml:space="preserve"> punktā</w:t>
            </w:r>
            <w:r w:rsidR="00000000" w:rsidRPr="00000000" w:rsidDel="00000000">
              <w:rPr>
                <w:rtl w:val="0"/>
              </w:rPr>
              <w:t xml:space="preserve"> minētos gadījumus. Ja šādas izmaksas ir radušās, finansējuma saņēmējs un gala labuma guvējs tās finansē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pievienotās vērtības nodokļa attiecināšanu nav piemērojami izņēmi - minētās izmaksas netiek segtas no Atveseļošanas un noturības mehānisma līdzekļiem. Lai nerastos interpretācijas iespējas, lūdzam nosacījumu par pievienotās vērtības nodokli izdalīt atsevišķā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anotāciju ar informāciju par veiktajiem precizējumiem Ministru kabineta 2023. gada 12. septembra noteikumu Nr. 529 "Eiropas Savienības Atveseļošanas un noturības mehānisma plāna 2. komponentes "Digitālā transformācija" 2.3. reformu un investīciju virziena "Digitālās prasmes" 2.3.1.2.i. investīcijas "Uzņēmumu digitālo prasmju attīstība" īstenošanas noteikumi" (turpmāk - noteikumi Nr. 529) 61.2.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lūdzam pārliecināties, vai anotācijā ir ietverta informācija par visiem plānotajiem grozījumiem noteikumos Nr. 529.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precizējusi MK noteikumu Nr. 529 61.2. apakšpunktu, atsevišķi 61.4. apakšpunktā izdalot nosacījumu, ka pievienotās vērtības nodoklis nav attiecināms no šīs investīcijas ietvaros un šādas izmaksas finansējuma saņēmējs un gala labuma guvējs finansē no saviem līdzekļiem. Par minētajām izmaiņām sniegts skaidrojums arī anotācijas 1.3. sadaļas 8. punktā, kā arī iekļauti papildu skaidrojumi par veiktajiem grozījumiem MK noteikumos.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nodokļi, tai skaitā muitas nodokļi, nodevas un soda maksājumi, izņemot šo noteikumu </w:t>
            </w:r>
            <w:r w:rsidR="00000000" w:rsidRPr="00000000" w:rsidDel="00000000">
              <w:rPr>
                <w:rtl w:val="0"/>
              </w:rPr>
              <w:t xml:space="preserve">44.2.6.1.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53.</w:t>
            </w:r>
            <w:r w:rsidR="00000000" w:rsidRPr="00000000" w:rsidDel="00000000">
              <w:rPr>
                <w:rtl w:val="0"/>
              </w:rPr>
              <w:t xml:space="preserve"> punktā</w:t>
            </w:r>
            <w:r w:rsidR="00000000" w:rsidRPr="00000000" w:rsidDel="00000000">
              <w:rPr>
                <w:rtl w:val="0"/>
              </w:rPr>
              <w:t xml:space="preserve"> minētos gadījumus. Ja šādas izmaksas ir radušās, finansējuma saņēmējs un gala labuma guvējs tās finansē no saviem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nodokļi, tai skaitā pievienotās vērtības nodoklis, muitas nodokļi, nodevas un soda maksājumi, izņemot šo noteikumu </w:t>
            </w:r>
            <w:r w:rsidR="00000000" w:rsidRPr="00000000" w:rsidDel="00000000">
              <w:rPr>
                <w:rtl w:val="0"/>
              </w:rPr>
              <w:t xml:space="preserve">44.2.6.</w:t>
            </w:r>
            <w:r w:rsidR="00000000" w:rsidRPr="00000000" w:rsidDel="00000000">
              <w:rPr>
                <w:rtl w:val="0"/>
              </w:rPr>
              <w:t xml:space="preserve"> apakšpunktā</w:t>
            </w:r>
            <w:r w:rsidR="00000000" w:rsidRPr="00000000" w:rsidDel="00000000">
              <w:rPr>
                <w:rtl w:val="0"/>
              </w:rPr>
              <w:t xml:space="preserve"> un </w:t>
            </w:r>
            <w:r w:rsidR="00000000" w:rsidRPr="00000000" w:rsidDel="00000000">
              <w:rPr>
                <w:rtl w:val="0"/>
              </w:rPr>
              <w:t xml:space="preserve">53.</w:t>
            </w:r>
            <w:r w:rsidR="00000000" w:rsidRPr="00000000" w:rsidDel="00000000">
              <w:rPr>
                <w:rtl w:val="0"/>
              </w:rPr>
              <w:t xml:space="preserve"> punktā</w:t>
            </w:r>
            <w:r w:rsidR="00000000" w:rsidRPr="00000000" w:rsidDel="00000000">
              <w:rPr>
                <w:rtl w:val="0"/>
              </w:rPr>
              <w:t xml:space="preserve"> minētos gadījumus. Ja šādas izmaksas ir radušās, gala labuma guvējs tās finansē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pievienotās vērtības nodokļa izmaksas var rasties arī pašam finansējuma saņēmējam, lūdzam papildināt ar "finansējuma saņēmējs vai gala labuma guvējs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nodokļi, tai skaitā pievienotās vērtības nodoklis, muitas nodokļi, nodevas un soda maksājumi, izņemot šo noteikumu 44.2.6. apakšpunktā un 53. punktā minētos gadījumus. Ja šādas izmaksas ir radušās, finansējuma saņēmējs vai gala labuma guvējs tās finansē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Pieņemta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nodokļi, tai skaitā muitas nodokļi, nodevas un soda maksājumi, izņemot šo noteikumu </w:t>
            </w:r>
            <w:r w:rsidR="00000000" w:rsidRPr="00000000" w:rsidDel="00000000">
              <w:rPr>
                <w:rtl w:val="0"/>
              </w:rPr>
              <w:t xml:space="preserve">44.2.6.1.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53.</w:t>
            </w:r>
            <w:r w:rsidR="00000000" w:rsidRPr="00000000" w:rsidDel="00000000">
              <w:rPr>
                <w:rtl w:val="0"/>
              </w:rPr>
              <w:t xml:space="preserve"> punktā</w:t>
            </w:r>
            <w:r w:rsidR="00000000" w:rsidRPr="00000000" w:rsidDel="00000000">
              <w:rPr>
                <w:rtl w:val="0"/>
              </w:rPr>
              <w:t xml:space="preserve"> minētos gadījumus. Ja šādas izmaksas ir radušās, finansējuma saņēmējs un gala labuma guvējs tās finansē no saviem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Finansējuma saņēmējs pirmās atlases kārtas ietvaros digitālo pamatprasmju apguvē klātienes un hibrīdformas apmācību kursos un otrās atlases kārtas ietvaros iesniedz Kohēzijas sistēmā paraksta lapu, kur gala labuma guvējs ar parakstu apliecina dalību apmācību kursā.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tiešsaistes apmācībās netiek sagatavotas paraksta lapas, kur gala labuma guvējs ar parakstu apliecina dalību apmācību kursā, bet gan izdruka no mācību platformas, ekrānšāviņi, 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pirmās atlases kārtas ietvaros digitālo pamatprasmju apguvē klātienes un hibrīdformas apmācību kursos un otrās atlases kārtas ietvaros iesniedz Kohēzijas sistēmā paraksta lapu, kur gala labuma guvējs ar parakstu apliecina dalību apmācību kursā vai elektronisku izdruku no mācību platformas, ekrānšāviņus.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Pieņemta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Finansējuma saņēmējs pirmās atlases kārtas ietvaros digitālo pamatprasmju apguvē klātienes un hibrīdformas apmācību kursos un otrās atlases kārtas ietvaros iesniedz Kohēzijas sistēmā paraksta lapu, kur gala labuma guvējs ar parakstu apliecina dalību apmācību kursā vai elektronisku izdruku no mācību platformas, ekrānšāviņus.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Gala labuma guvēja pienākums ir apmeklēt apmācību kursa nodarbības vismaz 75 %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apmācību kursi tiek nodrošināti atbilstoši šo noteikumu 29.2. apakšpunktam, t.i. tiešsaistes apmācību kurss atrodas platformā, kurā vismaz divas no platformā esošajām augstākās izglītības iestādēm piedāvā apmācību programmas kādā no Eiropas Savienības dalībvalstu oficiālajām valodām, ne visos gadījumos ir iespējams saņemt reģistrēta apmeklējuma izdrukas no platformas, lūdzam anotācijā norādīt, ka, ja apmācību kursi tiek nodrošināti atbilstoši šo noteikumu 29.2. apakšpunktam un 34.punktam, ir pietiekams apstiprinājums par sekmīgu apmācību kursu apguvi.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Gala labuma guvēja pienākums ir apmeklēt apmācību kursa nodarbības vismaz 75 %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Pirms iesnieguma iesniegšanas gala labuma guvējs vienojas ar finansējuma saņēmēju par komercdarbības atbalsta sniegšanas veidu atbilstoši Komisijas regulas Nr. </w:t>
            </w:r>
            <w:r w:rsidR="00000000" w:rsidRPr="00000000" w:rsidDel="00000000">
              <w:rPr>
                <w:rtl w:val="0"/>
              </w:rPr>
              <w:t xml:space="preserve">651/2014</w:t>
            </w:r>
            <w:r w:rsidR="00000000" w:rsidRPr="00000000" w:rsidDel="00000000">
              <w:rPr>
                <w:rtl w:val="0"/>
              </w:rPr>
              <w:t xml:space="preserve"> vai Komisijas regulas Nr. </w:t>
            </w:r>
            <w:r w:rsidR="00000000" w:rsidRPr="00000000" w:rsidDel="00000000">
              <w:rPr>
                <w:rtl w:val="0"/>
              </w:rPr>
              <w:t xml:space="preserve">​</w:t>
            </w:r>
            <w:r w:rsidR="00000000" w:rsidRPr="00000000" w:rsidDel="00000000">
              <w:rPr>
                <w:rtl w:val="0"/>
              </w:rPr>
              <w:t xml:space="preserve">2023/2831 nosacījumiem. Ja gala labuma guvējs pretendē uz komercdarbības atbalstu saskaņā ar Komisijas regulu Nr. </w:t>
            </w:r>
            <w:r w:rsidR="00000000" w:rsidRPr="00000000" w:rsidDel="00000000">
              <w:rPr>
                <w:rtl w:val="0"/>
              </w:rPr>
              <w:t xml:space="preserve">​</w:t>
            </w:r>
            <w:r w:rsidR="00000000" w:rsidRPr="00000000" w:rsidDel="00000000">
              <w:rPr>
                <w:rtl w:val="0"/>
              </w:rPr>
              <w:t xml:space="preserve">2023/2831, tad gala labuma guvējam jāsagatavo un finansējuma saņēmējam </w:t>
            </w:r>
            <w:r w:rsidR="00000000" w:rsidRPr="00000000" w:rsidDel="00000000">
              <w:rPr>
                <w:i w:val="1"/>
                <w:rtl w:val="0"/>
              </w:rPr>
              <w:t xml:space="preserve">de minimis</w:t>
            </w:r>
            <w:r w:rsidR="00000000" w:rsidRPr="00000000" w:rsidDel="00000000">
              <w:rPr>
                <w:rtl w:val="0"/>
              </w:rPr>
              <w:t xml:space="preserve"> atbalsta uzskaites sistēmā jāiesniedz aizpildīta veidlapa vai jānorāda sistēmā izveidotās un apstiprinātās pretendenta veidlapas identifikācijas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vienkāršojot kārtību, kādā tiek noteikts komercdarbības atbalsta sniegšanas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Gala labuma guvējs iesniegumā finansējuma saņēmējam norāda, vai gala labuma guvējs pretendē uz komercdarbības atbalstu atbilstoši Komisijas regulas Nr. 651/2014 vai Komisijas regulas Nr. ​2023/2831 nosacījumiem. Ja gala labuma guvējs pretendē uz komercdarbības atbalstu saskaņā ar Komisijas regulu Nr. ​2023/2831, tad gala labuma guvējam jāsagatavo un finansējuma saņēmējam de minimis atbalsta uzskaites sistēmā jāiesniedz aizpildīta veidlapa vai jānorāda sistēmā izveidotās un apstiprinātās pretendenta veidlapas identifikācijas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Pieņemta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Gala labuma guvējs iesniegumā finansējuma saņēmējam norāda, vai gala labuma guvējs pretendē uz komercdarbības atbalstu atbilstoši Komisijas regulas Nr. 651/2014 vai Komisijas regulas Nr. ​2023/2831 nosacījumiem. Ja gala labuma guvējs pretendē uz komercdarbības atbalstu saskaņā ar Komisijas regulu Nr. ​2023/2831, tad gala labuma guvējam jāsagatavo un finansējuma saņēmējam de minimis atbalsta uzskaites sistēmā jāiesniedz aizpildīta veidlapa vai jānorāda sistēmā izveidotās un apstiprinātās pretendenta veidlapas identifikācijas numurs.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Atbalsts gala labuma guvējam un finanšu saņēmējam netiek sniegts, ja tas darbojas: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Atbalsts gala labuma guvējam un finansējuma saņēmējam netiek sniegts, ja tas darbojas:"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Pieņemta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Atbalsts gala labuma guvējam un finansējuma saņēmējam netiek sniegts, ja tas darbojas: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Komisijas regulas Nr.2023/2831 1.panta 1.punkta "a", "b", "c" un "d" apakšpunktā noteiktajās nozarēs un veic Komisijas regulas Nr.2023/2831 1.panta 1.punkta "e" un "f" apakšpunktā noteiktās darbības, un pretendē uz komercdarbības atbalstu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nozares ministrijas viedokli par attiecīgā Komisijas regulas Nr. 2023/2831 nosacījuma redakciju, aicinām izteikt MK noteikumu 80.1.apakšpunktu piedāvātajā redakcijā, lai atbalsta sniedzējam un atbalsta pretendentam nodrošinātu korektu izpratni par Komisijas regulas Nr.2023/2831 1.panta 1.punktā ietverto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Nr.2023/2831 1.panta 1.punktā noteiktajās neatbalstāmajās nozarēs vai veic Komisijas regulas Nr.2023/2831 1.panta 1.punktā neatbalstāmās darbības un pretendē uz komercdarbības atbalstu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Pieņemta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Komisijas regulas Nr.2023/2831 1.panta 1.punktā noteiktajās neatbalstāmajās nozarēs vai veic Komisijas regulas Nr.2023/2831 1.panta 1.punktā neatbalstāmās darbības un pretendē uz komercdarbības atbalstu saskaņā ar Komisijas regulu Nr. 2023/2831;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Komisijas regulas Nr. </w:t>
            </w:r>
            <w:r w:rsidR="00000000" w:rsidRPr="00000000" w:rsidDel="00000000">
              <w:rPr>
                <w:rtl w:val="0"/>
              </w:rPr>
              <w:t xml:space="preserve">​</w:t>
            </w:r>
            <w:r w:rsidR="00000000" w:rsidRPr="00000000" w:rsidDel="00000000">
              <w:rPr>
                <w:rtl w:val="0"/>
              </w:rPr>
              <w:t xml:space="preserve">2023/2831 1. panta 1. punktā noteiktajās neatbalstāmajās nozarēs un darbībās un pretendē uz komercdarbības atbalstu saskaņā ar Komisijas regulu Nr. </w:t>
            </w:r>
            <w:r w:rsidR="00000000" w:rsidRPr="00000000" w:rsidDel="00000000">
              <w:rPr>
                <w:rtl w:val="0"/>
              </w:rPr>
              <w:t xml:space="preserve">​</w:t>
            </w:r>
            <w:r w:rsidR="00000000" w:rsidRPr="00000000" w:rsidDel="00000000">
              <w:rPr>
                <w:rtl w:val="0"/>
              </w:rPr>
              <w:t xml:space="preserve">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nepārprotamai skaidrībai, aicinām MK noteikumu 80.1.apakšpunktu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Nr.2023/2831 1.panta 1.punkta "a", "b", "c" un "d" apakšpunktā noteiktajās nozarēs un veic Komisijas regulas Nr.2023/2831 1.panta 1.punkta "e" un "f" apakšpunktā noteiktās darbības, un pretendē uz komercdarbības atbalstu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Pieņemta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Komisijas regulas Nr.2023/2831 1.panta 1.punktā noteiktajās neatbalstāmajās nozarēs vai veic Komisijas regulas Nr.2023/2831 1.panta 1.punktā neatbalstāmās darbības un pretendē uz komercdarbības atbalstu saskaņā ar Komisijas regulu Nr. 2023/2831;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Komisijas regulas Nr. </w:t>
            </w:r>
            <w:r w:rsidR="00000000" w:rsidRPr="00000000" w:rsidDel="00000000">
              <w:rPr>
                <w:rtl w:val="0"/>
              </w:rPr>
              <w:t xml:space="preserve">​</w:t>
            </w:r>
            <w:r w:rsidR="00000000" w:rsidRPr="00000000" w:rsidDel="00000000">
              <w:rPr>
                <w:rtl w:val="0"/>
              </w:rPr>
              <w:t xml:space="preserve">2023/2831 1. panta 1. un 2. punktā noteiktajās neatbalstāmajās nozarēs un darbībās un pretendē uz komercdarbības atbalstu saskaņā ar Komisijas regulu Nr. </w:t>
            </w:r>
            <w:r w:rsidR="00000000" w:rsidRPr="00000000" w:rsidDel="00000000">
              <w:rPr>
                <w:rtl w:val="0"/>
              </w:rPr>
              <w:t xml:space="preserve">​</w:t>
            </w:r>
            <w:r w:rsidR="00000000" w:rsidRPr="00000000" w:rsidDel="00000000">
              <w:rPr>
                <w:rtl w:val="0"/>
              </w:rPr>
              <w:t xml:space="preserve">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2023/2831 1. panta 2. punktā nav minētas atsevišķas neatbalstāmās nozares un darbības, tādēļ lūdzam svītrot noteikumu projekta 7. punktā ietverto atsauci uz 1. panta 2. punktu,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Komisijas regulas Nr.2023/2831 1.panta 1.punktā noteiktajās neatbalstāmajās nozarēs vai veic Komisijas regulas Nr.2023/2831 1.panta 1.punktā neatbalstāmās darbības un pretendē uz komercdarbības atbalstu saskaņā ar Komisijas regulu Nr. 2023/2831;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Komisijas regulas Nr. </w:t>
            </w:r>
            <w:r w:rsidR="00000000" w:rsidRPr="00000000" w:rsidDel="00000000">
              <w:rPr>
                <w:rtl w:val="0"/>
              </w:rPr>
              <w:t xml:space="preserve">​</w:t>
            </w:r>
            <w:r w:rsidR="00000000" w:rsidRPr="00000000" w:rsidDel="00000000">
              <w:rPr>
                <w:rtl w:val="0"/>
              </w:rPr>
              <w:t xml:space="preserve">2023/2831 1. panta 1. un 2. punktā noteiktajās neatbalstāmajās nozarēs un darbībās un pretendē uz komercdarbības atbalstu saskaņā ar Komisijas regulu Nr. </w:t>
            </w:r>
            <w:r w:rsidR="00000000" w:rsidRPr="00000000" w:rsidDel="00000000">
              <w:rPr>
                <w:rtl w:val="0"/>
              </w:rPr>
              <w:t xml:space="preserve">​</w:t>
            </w:r>
            <w:r w:rsidR="00000000" w:rsidRPr="00000000" w:rsidDel="00000000">
              <w:rPr>
                <w:rtl w:val="0"/>
              </w:rPr>
              <w:t xml:space="preserve">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nozares un darbības, kurām atbalstu saskaņā ar Komisijas regulu Nr.2023/2831 nepiemēro, ir noteiktas Komisijas regulas Nr.2023/2831 1.panta 1.punktā, savukārt Komisijas regulas Nr.​2023/2831 1.panta 2.punktā ir noteikts neatbalstāmo nozaru nošķiršanas pienākums (un attiecīgais nosacījums jau ir ietverts noteikumu 81.punktā), aicinām noteikumu 80.1.apakšpunktā dzēst vārdus "</w:t>
            </w:r>
            <w:r w:rsidR="00000000" w:rsidRPr="00000000" w:rsidDel="00000000">
              <w:rPr>
                <w:i w:val="1"/>
                <w:rtl w:val="0"/>
              </w:rPr>
              <w:t xml:space="preserve">un 2. punktā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Komisijas regulas Nr.2023/2831 1.panta 1.punktā noteiktajās neatbalstāmajās nozarēs vai veic Komisijas regulas Nr.2023/2831 1.panta 1.punktā neatbalstāmās darbības un pretendē uz komercdarbības atbalstu saskaņā ar Komisijas regulu Nr. 2023/2831;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gala labuma guvējs un finansējuma saņēmējs darbojas kādā no šo noteikumu </w:t>
            </w:r>
            <w:r w:rsidR="00000000" w:rsidRPr="00000000" w:rsidDel="00000000">
              <w:rPr>
                <w:rtl w:val="0"/>
              </w:rPr>
              <w:t xml:space="preserve">80.</w:t>
            </w:r>
            <w:r w:rsidR="00000000" w:rsidRPr="00000000" w:rsidDel="00000000">
              <w:rPr>
                <w:rtl w:val="0"/>
              </w:rPr>
              <w:t xml:space="preserve"> punktā</w:t>
            </w:r>
            <w:r w:rsidR="00000000" w:rsidRPr="00000000" w:rsidDel="00000000">
              <w:rPr>
                <w:rtl w:val="0"/>
              </w:rPr>
              <w:t xml:space="preserve"> minētajām nozarēm vai darbībām, komercdarbības atbalstu drīkst piešķirt tad, ja tiek skaidri nodalītas atbalstāmās darbības un finanšu plūsmas, nodrošinot, ka gala labuma guvējs neatbalstāmās nozarēs vai darbībās negūst labumu no pasākuma ietvaros piešķirtā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Komisijas regulas Nr.2023/2831 1.panta 2.punktā minētais nodalīšanas pienākums ir attiecināms uz darbībām neatbalstāmajās nozarēs nevis uz neatbalstāmajām darbībām, kas ir ietvertas Komisijas regulas Nr.2023/2831 1. panta 1.punkta “e” un “f” apakšpunktā). Ja uzņēmums veic darbības, kas ir noteiktas Komisijas regulas Nr.2023/2831 1.panta 1.punkta “e” un “f” apakšpunktā, atbalstu nevar piešķirt. Attiecīgi, lai nodrošinātu, ka attiecībā uz izmaksu un darbību nošķiršanu tiek runāts tikai nozaru kontekstā, lūdzam precizēt noteikumu 81.punktu, izsakot to, piemēram, šādā redakcijā: "Ja saimnieciskās darbības veicējs vienlaikus darbojas vienā vai vairākās nozarēs vai veic citas darbības sfērās, kas neietilpst Komisijas regulas Nr. 2023/2831 darbības jomā, tas nodrošina šo nozaru darbību vai izmaksu nodalīšanu saskaņā ar Komisijas regulas Nr. ​2023/2831 1.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ietvaros ir noteikts, ka atbalstu nepiešķir nozarēm un darbībām, kas minētas 80.punkta apakšpunktos. Lūdzam normatīvā akta skaidrības nolūkos papildināt noteikumus ar nosacījumu attiecībā uz projekta iesniedzējiem, kas vienlaicīgi darbojas nozarē vai veic darbības, kas minētas kā aizliegtās, nosakot, vai atbalsts tādiem projekta iesniedzējiem atbalsta programmas ietvaros var (ar izmaksu nodalīšanu) / nevar tikt sniegts, vienlaikus sniedzot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finansējuma saņēmējs vai gala labuma guvējs pretendē uz Komisijas regulas Nr. 2023/2831 atbalsta saņemšanu un vienlaikus darbojas vienā vai vairākās Komisijas regulas Nr.2023/2831 1.panta 1.punkta a), b), c) un d) apakšpunktā minētajās nozarēs, atbalstu drīkst piešķirt, ja tas nodrošina šo nozaru darbību vai uzskaites nodalīšanu, lai saskaņā ar Komisijas regulas Nr.2023/2831 1.panta 2.punktu darbības izslēgtajās nozarēs negūst labumu no de minimis atbalsta, ko piešķir saskaņā ar noteikumiem. Ja finansējuma saņēmējs vai gala labuma guvējs vienlaikus darbojas vienā vai vairākās nozarēs, kas minētas šo noteikumu </w:t>
            </w:r>
            <w:r w:rsidR="00000000" w:rsidRPr="00000000" w:rsidDel="00000000">
              <w:rPr>
                <w:rtl w:val="0"/>
              </w:rPr>
              <w:t xml:space="preserve">80.2.</w:t>
            </w:r>
            <w:r w:rsidR="00000000" w:rsidRPr="00000000" w:rsidDel="00000000">
              <w:rPr>
                <w:rtl w:val="0"/>
              </w:rPr>
              <w:t xml:space="preserve"> -</w:t>
            </w:r>
            <w:r w:rsidR="00000000" w:rsidRPr="00000000" w:rsidDel="00000000">
              <w:rPr>
                <w:rtl w:val="0"/>
              </w:rPr>
              <w:t xml:space="preserve">80.10. </w:t>
            </w:r>
            <w:r w:rsidR="00000000" w:rsidRPr="00000000" w:rsidDel="00000000">
              <w:rPr>
                <w:rtl w:val="0"/>
              </w:rPr>
              <w:t xml:space="preserve">apakšpunktā</w:t>
            </w:r>
            <w:r w:rsidR="00000000" w:rsidRPr="00000000" w:rsidDel="00000000">
              <w:rPr>
                <w:rtl w:val="0"/>
              </w:rPr>
              <w:t xml:space="preserve">, tas nodrošina šo nozaru darbību vai uzskaites nodalīšanu, lai darbības izslēgtajās nozarēs negūst labumu no atbalsta, ko piešķir saskaņā ar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Vienam de minimis atbalsta saņēmējam plānotais de minimis atbalsta apmērs kopā ar iepriekšējos trijos gados no atbalsta piešķiršanas dienas saņemto de minimis atbalstu viena vienota uzņēmuma līmenī nepārsniedz Komisijas regulas Nr. 2023/2831 3. panta 2. punktā noteikto maksimālo de minimis atbalsta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tehnisku precizējumu, izsakot MK noteikumu 85.punktu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Vienam de minimis atbalsta saņēmējam plānotais de minimis atbalsta apmērs kopā ar iepriekšējos trijos gados no atbalsta piešķiršanas dienas piešķirto de minimis atbalstu viena vienota uzņēmuma līmenī nepārsniedz Komisijas regulas Nr. 2023/2831 3. panta 2. punktā noteikto maksimālo de minimis atbalsta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Pieņemta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Vienam de minimis atbalsta saņēmējam plānotais de minimis atbalsta apmērs kopā ar iepriekšējos trijos gados no atbalsta piešķiršanas dienas piešķirto de minimis atbalstu viena vienota uzņēmuma līmenī nepārsniedz Komisijas regulas Nr. 2023/2831 3. panta 2. punktā noteikto maksimālo de minimis atbalsta apmēru.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Vienam </w:t>
            </w:r>
            <w:r w:rsidR="00000000" w:rsidRPr="00000000" w:rsidDel="00000000">
              <w:rPr>
                <w:i w:val="1"/>
                <w:rtl w:val="0"/>
              </w:rPr>
              <w:t xml:space="preserve">de minimis</w:t>
            </w:r>
            <w:r w:rsidR="00000000" w:rsidRPr="00000000" w:rsidDel="00000000">
              <w:rPr>
                <w:rtl w:val="0"/>
              </w:rPr>
              <w:t xml:space="preserve"> atbalsta saņēmējam </w:t>
            </w:r>
            <w:r w:rsidR="00000000" w:rsidRPr="00000000" w:rsidDel="00000000">
              <w:rPr>
                <w:i w:val="1"/>
                <w:rtl w:val="0"/>
              </w:rPr>
              <w:t xml:space="preserve">de minimis</w:t>
            </w:r>
            <w:r w:rsidR="00000000" w:rsidRPr="00000000" w:rsidDel="00000000">
              <w:rPr>
                <w:rtl w:val="0"/>
              </w:rPr>
              <w:t xml:space="preserve"> atbalsta apmērs kopā ar attiecīgajā fiskālajā gadā un iepriekšējos divos fiskālajos gados piešķirto </w:t>
            </w:r>
            <w:r w:rsidR="00000000" w:rsidRPr="00000000" w:rsidDel="00000000">
              <w:rPr>
                <w:i w:val="1"/>
                <w:rtl w:val="0"/>
              </w:rPr>
              <w:t xml:space="preserve">de minimis</w:t>
            </w:r>
            <w:r w:rsidR="00000000" w:rsidRPr="00000000" w:rsidDel="00000000">
              <w:rPr>
                <w:rtl w:val="0"/>
              </w:rPr>
              <w:t xml:space="preserve"> atbalstu viena vienota uzņēmuma līmenī nedrīkst pārsniegt Komisijas regulas Nr. </w:t>
            </w:r>
            <w:r w:rsidR="00000000" w:rsidRPr="00000000" w:rsidDel="00000000">
              <w:rPr>
                <w:rtl w:val="0"/>
              </w:rPr>
              <w:t xml:space="preserve">​</w:t>
            </w:r>
            <w:r w:rsidR="00000000" w:rsidRPr="00000000" w:rsidDel="00000000">
              <w:rPr>
                <w:rtl w:val="0"/>
              </w:rPr>
              <w:t xml:space="preserve">2023/2831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 punktu, līdzīgi, kā citos normatīvajos aktos, kur tiek ieviestas attiecīgās regulas prasības, norādot, ka minētais atbalsts triju gadu periodā, skaitot no </w:t>
            </w:r>
            <w:r w:rsidR="00000000" w:rsidRPr="00000000" w:rsidDel="00000000">
              <w:rPr>
                <w:i w:val="1"/>
                <w:rtl w:val="0"/>
              </w:rPr>
              <w:t xml:space="preserve">de minimis</w:t>
            </w:r>
            <w:r w:rsidR="00000000" w:rsidRPr="00000000" w:rsidDel="00000000">
              <w:rPr>
                <w:rtl w:val="0"/>
              </w:rPr>
              <w:t xml:space="preserve"> atbalsta piešķiršanas dienas, nepārsniedz regulas 2023/2831 3. panta 2. punktā noteikto de minimis atbalsta apmēru vienam vienotam uzņēmumam.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Vienam de minimis atbalsta saņēmējam plānotais de minimis atbalsta apmērs kopā ar iepriekšējos trijos gados no atbalsta piešķiršanas dienas piešķirto de minimis atbalstu viena vienota uzņēmuma līmenī nepārsniedz Komisijas regulas Nr. 2023/2831 3. panta 2. punktā noteikto maksimālo de minimis atbalsta apmēru.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87.5. finansējuma saņēmējam visās kārtās šo noteikumu </w:t>
            </w:r>
            <w:r w:rsidR="00000000" w:rsidRPr="00000000" w:rsidDel="00000000">
              <w:rPr>
                <w:rtl w:val="0"/>
              </w:rPr>
              <w:t xml:space="preserve">38.1.</w:t>
            </w:r>
            <w:r w:rsidR="00000000" w:rsidRPr="00000000" w:rsidDel="00000000">
              <w:rPr>
                <w:rtl w:val="0"/>
              </w:rPr>
              <w:t xml:space="preserve"> apakšpunktā</w:t>
            </w:r>
            <w:r w:rsidR="00000000" w:rsidRPr="00000000" w:rsidDel="00000000">
              <w:rPr>
                <w:rtl w:val="0"/>
              </w:rPr>
              <w:t xml:space="preserve"> minēto izmaksu segšanai – 100 % apmērā, nepārsniedzot šo noteikumu </w:t>
            </w:r>
            <w:r w:rsidR="00000000" w:rsidRPr="00000000" w:rsidDel="00000000">
              <w:rPr>
                <w:rtl w:val="0"/>
              </w:rPr>
              <w:t xml:space="preserve">87.1.</w:t>
            </w:r>
            <w:r w:rsidR="00000000" w:rsidRPr="00000000" w:rsidDel="00000000">
              <w:rPr>
                <w:rtl w:val="0"/>
              </w:rPr>
              <w:t xml:space="preserve">, </w:t>
            </w:r>
            <w:r w:rsidR="00000000" w:rsidRPr="00000000" w:rsidDel="00000000">
              <w:rPr>
                <w:rtl w:val="0"/>
              </w:rPr>
              <w:t xml:space="preserve">87.2.</w:t>
            </w:r>
            <w:r w:rsidR="00000000" w:rsidRPr="00000000" w:rsidDel="00000000">
              <w:rPr>
                <w:rtl w:val="0"/>
              </w:rPr>
              <w:t xml:space="preserve">, </w:t>
            </w:r>
            <w:r w:rsidR="00000000" w:rsidRPr="00000000" w:rsidDel="00000000">
              <w:rPr>
                <w:rtl w:val="0"/>
              </w:rPr>
              <w:t xml:space="preserve">87.3.</w:t>
            </w:r>
            <w:r w:rsidR="00000000" w:rsidRPr="00000000" w:rsidDel="00000000">
              <w:rPr>
                <w:rtl w:val="0"/>
              </w:rPr>
              <w:t xml:space="preserve"> un </w:t>
            </w:r>
            <w:r w:rsidR="00000000" w:rsidRPr="00000000" w:rsidDel="00000000">
              <w:rPr>
                <w:rtl w:val="0"/>
              </w:rPr>
              <w:t xml:space="preserve">87.4.</w:t>
            </w:r>
            <w:r w:rsidR="00000000" w:rsidRPr="00000000" w:rsidDel="00000000">
              <w:rPr>
                <w:rtl w:val="0"/>
              </w:rPr>
              <w:t xml:space="preserve"> apakšpunktā</w:t>
            </w:r>
            <w:r w:rsidR="00000000" w:rsidRPr="00000000" w:rsidDel="00000000">
              <w:rPr>
                <w:rtl w:val="0"/>
              </w:rPr>
              <w:t xml:space="preserve"> minētos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risinājumam, par ko iepriekš panākta vienošanās, lūdzu noteikumu 87.5.apakšpunktu papildināt ar atsauci uz 44.1. apakšpunktu, ņemot vērā, ka MK noteikumos viennozīmīgi nav noteikta intensitāte otrās kārtas ietvaros attiecināmajām informatīvo pasākumu un konferences organizēšanas izmaksām. Vienlaikus aicinām izvērtēt papildinājuma "nepārsniedzot šo noteikumu 87.1., 87.2., 87.3. un 87.4. apakšpunktā minētos ierobežojumus", ja teikuma pirmajā daļā jau norādīts, ka intensitāte ir 100 %.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87.5. finansējuma saņēmējam pirmajā kārtā šo noteikumu </w:t>
            </w:r>
            <w:r w:rsidR="00000000" w:rsidRPr="00000000" w:rsidDel="00000000">
              <w:rPr>
                <w:rtl w:val="0"/>
              </w:rPr>
              <w:t xml:space="preserve">38.1.1. </w:t>
            </w:r>
            <w:r w:rsidR="00000000" w:rsidRPr="00000000" w:rsidDel="00000000">
              <w:rPr>
                <w:rtl w:val="0"/>
              </w:rPr>
              <w:t xml:space="preserve">apakšpunktā</w:t>
            </w:r>
            <w:r w:rsidR="00000000" w:rsidRPr="00000000" w:rsidDel="00000000">
              <w:rPr>
                <w:rtl w:val="0"/>
              </w:rPr>
              <w:t xml:space="preserve"> minēto izmaksu segšanai – 100 %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Ja finansējuma saņēmējs ir </w:t>
            </w:r>
            <w:r w:rsidR="00000000" w:rsidRPr="00000000" w:rsidDel="00000000">
              <w:rPr>
                <w:i w:val="1"/>
                <w:rtl w:val="0"/>
              </w:rPr>
              <w:t xml:space="preserve">de minimis</w:t>
            </w:r>
            <w:r w:rsidR="00000000" w:rsidRPr="00000000" w:rsidDel="00000000">
              <w:rPr>
                <w:rtl w:val="0"/>
              </w:rPr>
              <w:t xml:space="preserve"> atbalsta saņēmējs un tiek pārkāptas Komisijas regulas Nr. </w:t>
            </w:r>
            <w:r w:rsidR="00000000" w:rsidRPr="00000000" w:rsidDel="00000000">
              <w:rPr>
                <w:rtl w:val="0"/>
              </w:rPr>
              <w:t xml:space="preserve">​</w:t>
            </w:r>
            <w:r w:rsidR="00000000" w:rsidRPr="00000000" w:rsidDel="00000000">
              <w:rPr>
                <w:rtl w:val="0"/>
              </w:rPr>
              <w:t xml:space="preserve">2023/2831 prasības, finansējuma saņēmējam ir pienākums atmaksāt aģentūrai visu projekta ietvaros nelikumīgi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piešķirtais komercdarbības atbalsts ir atgūstams tikai gadījumā, ja tas ir nelikumīgs, lūdzam precizēt noteikumu  90.punktu, dzēšot vārdu "visu", lai novērstu nekorektu interpretācijas risku, ka visos gadījumos būtu atgūstams viss de minimis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Ja finansējuma saņēmējs ir </w:t>
            </w:r>
            <w:r w:rsidR="00000000" w:rsidRPr="00000000" w:rsidDel="00000000">
              <w:rPr>
                <w:i w:val="1"/>
                <w:rtl w:val="0"/>
              </w:rPr>
              <w:t xml:space="preserve">de minimis</w:t>
            </w:r>
            <w:r w:rsidR="00000000" w:rsidRPr="00000000" w:rsidDel="00000000">
              <w:rPr>
                <w:rtl w:val="0"/>
              </w:rPr>
              <w:t xml:space="preserve"> atbalsta saņēmējs un tiek pārkāptas Komisijas regulas Nr. </w:t>
            </w:r>
            <w:r w:rsidR="00000000" w:rsidRPr="00000000" w:rsidDel="00000000">
              <w:rPr>
                <w:rtl w:val="0"/>
              </w:rPr>
              <w:t xml:space="preserve">​</w:t>
            </w:r>
            <w:r w:rsidR="00000000" w:rsidRPr="00000000" w:rsidDel="00000000">
              <w:rPr>
                <w:rtl w:val="0"/>
              </w:rPr>
              <w:t xml:space="preserve">2023/2831 prasības, finansējuma saņēmējam ir pienākums atmaksāt aģentūrai projekta ietvaros nelikumīgi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Ja gala labuma guvējs ir pārkāpis Komisijas regulas Nr. </w:t>
            </w:r>
            <w:r w:rsidR="00000000" w:rsidRPr="00000000" w:rsidDel="00000000">
              <w:rPr>
                <w:rtl w:val="0"/>
              </w:rPr>
              <w:t xml:space="preserve">​</w:t>
            </w:r>
            <w:r w:rsidR="00000000" w:rsidRPr="00000000" w:rsidDel="00000000">
              <w:rPr>
                <w:rtl w:val="0"/>
              </w:rPr>
              <w:t xml:space="preserve">​2023/2831 prasības, finansējuma saņēmējs uzliek par pienākumu gala labuma guvējam atmaksāt finansējuma saņēmējam projekta ietvaros saņemto nelikumīgo valsts atbalstu. Finansējuma saņēmējam ir pienākums atmaksāt aģentūrai visu projekta ietvaros saņemto nelikumīgo </w:t>
            </w:r>
            <w:r w:rsidR="00000000" w:rsidRPr="00000000" w:rsidDel="00000000">
              <w:rPr>
                <w:i w:val="1"/>
                <w:rtl w:val="0"/>
              </w:rPr>
              <w:t xml:space="preserve">de minimis</w:t>
            </w:r>
            <w:r w:rsidR="00000000" w:rsidRPr="00000000" w:rsidDel="00000000">
              <w:rPr>
                <w:rtl w:val="0"/>
              </w:rPr>
              <w:t xml:space="preserve"> atbalstu. Atbalstu atmaksā kopā ar procentiem, kurus aprēķina no dienas, kad valsts atbalsts tika izmaksāts gala labuma guvējam, līdz tā atgūšanas dienai, no līdzekļiem, kas ir brīvi no valsts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piešķirtais komercdarbības atbalsts ir atgūstams tikai gadījumā, ja tas ir nelikumīgs, lūdzam precizēt noteikumu  92.punktu, dzēšot vārdu "visu", lai novērstu nekorektu interpretācijas risku, ka visos gadījumos būtu atgūstams viss de minimis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Ja gala labuma guvējs ir pārkāpis Komisijas regulas Nr. </w:t>
            </w:r>
            <w:r w:rsidR="00000000" w:rsidRPr="00000000" w:rsidDel="00000000">
              <w:rPr>
                <w:rtl w:val="0"/>
              </w:rPr>
              <w:t xml:space="preserve">​</w:t>
            </w:r>
            <w:r w:rsidR="00000000" w:rsidRPr="00000000" w:rsidDel="00000000">
              <w:rPr>
                <w:rtl w:val="0"/>
              </w:rPr>
              <w:t xml:space="preserve">​2023/2831 prasības, finansējuma saņēmējs uzliek par pienākumu gala labuma guvējam atmaksāt finansējuma saņēmējam projekta ietvaros saņemto nelikumīgo valsts atbalstu. Finansējuma saņēmējam ir pienākums atmaksāt aģentūrai projekta ietvaros saņemto nelikumīgo </w:t>
            </w:r>
            <w:r w:rsidR="00000000" w:rsidRPr="00000000" w:rsidDel="00000000">
              <w:rPr>
                <w:i w:val="1"/>
                <w:rtl w:val="0"/>
              </w:rPr>
              <w:t xml:space="preserve">de minimis</w:t>
            </w:r>
            <w:r w:rsidR="00000000" w:rsidRPr="00000000" w:rsidDel="00000000">
              <w:rPr>
                <w:rtl w:val="0"/>
              </w:rPr>
              <w:t xml:space="preserve"> atbalstu. Atbalstu atmaksā kopā ar procentiem, kurus aprēķina no dienas, kad valsts atbalsts tika izmaksāts gala labuma guvējam, līdz tā atgūšanas dienai, no līdzekļiem, kas ir brīvi no valsts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Šo noteikumu ietvaros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 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62. punktā (noteikumu 94. punktā) nepārrakstīt Komisijas 2023. gada 13. decembra Regulas (ES) Nr. 2023/2831 par Līguma par Eiropas Savienības darbību 107. un 108. panta piemērošanu de minimis atbalstam 5. panta 3. punkta prasības, bet izdarīt atbilstošu atsauci uz minēto regulas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minētā redakcija ir iekļauta saskaņā ar Finanšu ministrijas 10.05.2024. iesūtīto skaidrojumu (vēstule Nr. 3.3-4/2024/6810S), vienlaikus pēc saziņas ar Finanšu ministriju un Tieslietu ministriju salāgota anotācijas 1.3. sadaļas 8. punktā iekļautā trešās rindkopas skaidrojuma redakcija,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atbalsta pretendentam un atbalsta sniedzējam nodrošinātu korektu kumulācijas nosacījuma izpratni un piemērošanu praksē, novēršot nekorektas interpretācijas risku, tehniski precizēts MK noteikumu Nr. 529 94. punkts, norādot visus piemērojamos kumulācijas nosacījumus, kas attiecināmi, kumulējot šo noteikumu ietvaros piešķirto </w:t>
            </w:r>
            <w:r w:rsidR="00000000" w:rsidRPr="00000000" w:rsidDel="00000000">
              <w:rPr>
                <w:i w:val="1"/>
                <w:rtl w:val="0"/>
              </w:rPr>
              <w:t xml:space="preserve">de minimis</w:t>
            </w:r>
            <w:r w:rsidR="00000000" w:rsidRPr="00000000" w:rsidDel="00000000">
              <w:rPr>
                <w:rtl w:val="0"/>
              </w:rPr>
              <w:t xml:space="preserve"> atbalstu vai atbalstu, kas piešķirts saskaņā ar Komisijas regulu Nr. 651/2014, tai skaitā par vienām un tām pašām attiecināmajām izmaksām, gan ar citu </w:t>
            </w:r>
            <w:r w:rsidR="00000000" w:rsidRPr="00000000" w:rsidDel="00000000">
              <w:rPr>
                <w:i w:val="1"/>
                <w:rtl w:val="0"/>
              </w:rPr>
              <w:t xml:space="preserve">de minimis</w:t>
            </w:r>
            <w:r w:rsidR="00000000" w:rsidRPr="00000000" w:rsidDel="00000000">
              <w:rPr>
                <w:rtl w:val="0"/>
              </w:rPr>
              <w:t xml:space="preserve"> atbalstu, gan ar citu komercdarbības atbalstu. Vienlaikus skaidrojam, ka attiecībā uz maksimālo atbalsta intensitātes vai atbalsta summu atbalsta saņēmējam tā var būt noteikta ne vien komercdarbības atbalsta programmā, bet arī saistošajos </w:t>
            </w:r>
            <w:r w:rsidR="00000000" w:rsidRPr="00000000" w:rsidDel="00000000">
              <w:rPr>
                <w:i w:val="1"/>
                <w:rtl w:val="0"/>
              </w:rPr>
              <w:t xml:space="preserve">ad-hoc </w:t>
            </w:r>
            <w:r w:rsidR="00000000" w:rsidRPr="00000000" w:rsidDel="00000000">
              <w:rPr>
                <w:rtl w:val="0"/>
              </w:rPr>
              <w:t xml:space="preserve">atbalsta un Eiropas Komisijas lēmumos. Līdz ar to MK noteikumu Nr. 529 94. punktā noteiktās prasības ir attiecināmas gan uz atbalsta pretendentu, kas ir atbildīgs par korektas, patiesas un pilnīgas informācijas sniegšanu, gan uz atbalsta sniedzēju, kura pienākums, piešķirot atbalstu, ir veikt pārbaudi par atbilstību kumulācijas normā minētajām prasībām. Ar </w:t>
            </w:r>
            <w:r w:rsidR="00000000" w:rsidRPr="00000000" w:rsidDel="00000000">
              <w:rPr>
                <w:i w:val="1"/>
                <w:rtl w:val="0"/>
              </w:rPr>
              <w:t xml:space="preserve">ad-hoc</w:t>
            </w:r>
            <w:r w:rsidR="00000000" w:rsidRPr="00000000" w:rsidDel="00000000">
              <w:rPr>
                <w:rtl w:val="0"/>
              </w:rPr>
              <w:t xml:space="preserve"> lēmumu saskaņā ar Komercdarbības atbalsta kontroles likuma 1.panta otrās daļas 1.punktu saprot gadījumu, kad komercdarbības atbalstu piešķir ārpus atbalsta programmas, piemēram, ar atsevišķu MK rīkojumu vai pašvaldības domes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Šo noteikumu ietvaros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 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Gala labuma guvējs de minimis atbalstu drīkst kumulēt ar citu de minimis atbalstu līdz Komisijas regulas Nr. ​​2023/2831 3. panta 2. punktā noteiktajam attiecīgajam robežlielumam, kā arī drīkst kumulēt ar citu komercdarbības atbalstu, tai skaitā attiecībā uz vienām un tām pašām attiecināmajām izmaksām vai citu komercdarbības atbalstu tai pašai riska finansējuma investīcijai saskaņā ar Komisijas regulas Nr. ​​2023/2831 5. pantu. Ja par vienām un tām pašām projekta attiecināmajām izmaksām tiek sniegts atbalsts vairāku komercdarbības atbalsta programmu ietvaros, gala labuma guvējs finansējuma saņēmējam iesniedz informāciju par plānoto un piešķirto atbalstu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atbalsta pretendentam un atbalsta sniedzējam nodrošinātu korektu kumulācijas nosacījuma izpratni un piemērošanu praksē aicinām izteikt MK noteikumu 94.punktu piedāvātajā redakcijā, norādot visus piemērojamos kumulācijas nosacījumus gan de minimis atbalstam, gan citam komercdarbības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 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Pieņemta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Šo noteikumu ietvaros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 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Gala labuma guvējs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Komisijas regulas Nr. </w:t>
            </w:r>
            <w:r w:rsidR="00000000" w:rsidRPr="00000000" w:rsidDel="00000000">
              <w:rPr>
                <w:rtl w:val="0"/>
              </w:rPr>
              <w:t xml:space="preserve">​</w:t>
            </w:r>
            <w:r w:rsidR="00000000" w:rsidRPr="00000000" w:rsidDel="00000000">
              <w:rPr>
                <w:rtl w:val="0"/>
              </w:rPr>
              <w:t xml:space="preserve">​2023/2831 3. panta 2. punktā noteiktajam attiecīgajam robežlielumam, kā arī drīkst kumulēt ar citu komercdarbības atbalstu attiecībā uz vienām un tām pašām attiecināmajām izmaksām vai citu komercdarbības atbalstu tai pašai riska finansējuma investīcijai, ja netiek pārsniegta attiecīgā maksimālā atbalsta intensitāte vai atbalsta summa, kāda noteikta komercdarbības atbalsta programmā vai Eiropas Komisijas lēmumā. Ja par vienām un tām pašām projekta attiecināmajām izmaksām tiek sniegts atbalsts vairāku komercdarbības atbalsta programmu ietvaros, gala labuma guvējs finansējuma saņēmējam iesniedz informāciju par plānoto un piešķirto atbalstu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15. punktā iespēju robežās izvairīties no regulas prasību pārrakstīšanas. Vēršam uzmanību,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Norādām, ka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Gala labuma guvējs de minimis atbalstu drīkst kumulēt ar citu de minimis atbalstu līdz Komisijas regulas Nr. ​​2023/2831 3. panta 2. punktā noteiktajam attiecīgajam robežlielumam, kā arī drīkst kumulēt ar citu komercdarbības atbalstu attiecībā uz vienām un tām pašām attiecināmajām izmaksām vai citu komercdarbības atbalstu tai pašai riska finansējuma investīcijai saskaņā ar Komisijas regulas Nr. ​​2023/2831 5. pantu. Ja par vienām un tām pašām projekta attiecināmajām izmaksām tiek sniegts atbalsts vairāku komercdarbības atbalsta programmu ietvaros, gala labuma guvējs finansējuma saņēmējam iesniedz informāciju par plānoto un piešķirto atbalstu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Šo noteikumu ietvaros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 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Gala labuma guvējs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Komisijas regulas Nr. </w:t>
            </w:r>
            <w:r w:rsidR="00000000" w:rsidRPr="00000000" w:rsidDel="00000000">
              <w:rPr>
                <w:rtl w:val="0"/>
              </w:rPr>
              <w:t xml:space="preserve">​</w:t>
            </w:r>
            <w:r w:rsidR="00000000" w:rsidRPr="00000000" w:rsidDel="00000000">
              <w:rPr>
                <w:rtl w:val="0"/>
              </w:rPr>
              <w:t xml:space="preserve">​2023/2831 3. panta 2. punktā noteiktajam attiecīgajam robežlielumam, kā arī drīkst kumulēt ar citu komercdarbības atbalstu attiecībā uz vienām un tām pašām attiecināmajām izmaksām vai citu komercdarbības atbalstu tai pašai riska finansējuma investīcijai, ja netiek pārsniegta attiecīgā maksimālā atbalsta intensitāte vai atbalsta summa, kāda noteikta komercdarbības atbalsta programmā vai Eiropas Komisijas lēmumā. Ja par vienām un tām pašām projekta attiecināmajām izmaksām tiek sniegts atbalsts vairāku komercdarbības atbalsta programmu ietvaros, gala labuma guvējs finansējuma saņēmējam iesniedz informāciju par plānoto un piešķirto atbalstu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kumulācija ir iespējama gan par tām pašām attiecināmajām izmaksām, gan par citas atbalsta programmas ietvaros piešķirto finansējumu, lūdzam precizēt noteikumu 94.punktu, izsakot to,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Gala labuma guvējs de minimis atbalstu drīkst kumulēt ar citu de minimis atbalstu līdz Komisijas regulas Nr.​​2023/2831 3. panta 2. punktā noteiktajam attiecīgajam robežlielumam, kā arī drīkst kumulēt ar citu komercdarbības atbalstu, </w:t>
            </w:r>
            <w:r w:rsidR="00000000" w:rsidRPr="00000000" w:rsidDel="00000000">
              <w:rPr>
                <w:i w:val="1"/>
                <w:u w:val="single"/>
                <w:rtl w:val="0"/>
              </w:rPr>
              <w:t xml:space="preserve">tai skaitā, </w:t>
            </w:r>
            <w:r w:rsidR="00000000" w:rsidRPr="00000000" w:rsidDel="00000000">
              <w:rPr>
                <w:i w:val="1"/>
                <w:rtl w:val="0"/>
              </w:rPr>
              <w:t xml:space="preserve">attiecībā uz vienām un tām pašām attiecināmajām izmaksām vai citu komercdarbības atbalstu tai pašai riska finansējuma investīcijai, ja netiek pārsniegta attiecīgā maksimālā atbalsta intensitāte vai atbalsta summa, kāda noteikta komercdarbības atbalsta programmā vai Eiropas Komisijas lēmumā. Ja par vienām un tām pašām projekta attiecināmajām izmaksām tiek sniegts atbalsts vairāku komercdarbības atbalsta programmu ietvaros, gala labuma guvējs finansējuma saņēmējam iesniedz informāciju par plānoto un piešķirto atbalstu par tām pašām attiecināmajām izmaksām, norādot atbalsta piešķiršanas datumu (tai skaitā plānoto atbalsta piešķiršanas datumu), atbalsta intensitāti, atbalsta sniedzēju, atbalsta pasākumu vai investīciju un plānoto vai piešķirto atbalsta summu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Šo noteikumu ietvaros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 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Atbilstoši Komisijas regulas Nr. </w:t>
            </w:r>
            <w:r w:rsidR="00000000" w:rsidRPr="00000000" w:rsidDel="00000000">
              <w:rPr>
                <w:rtl w:val="0"/>
              </w:rPr>
              <w:t xml:space="preserve">​</w:t>
            </w:r>
            <w:r w:rsidR="00000000" w:rsidRPr="00000000" w:rsidDel="00000000">
              <w:rPr>
                <w:rtl w:val="0"/>
              </w:rPr>
              <w:t xml:space="preserve">​2023/2831 6. panta 4. punktam informācijas pieejamība tiek nodrošināta šādā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​​2023/2831 6. panta 4. punkts neparedz nosacījumus attiecībā uz informācijas pieejamību, tādēļ lūdzam precizēt noteikumu projekta 16. punktu,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Informācijas pieejamība tiek nodrošināta šādā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Lēmumus par komercdarbības atbalsta piešķiršanu finansējuma saņēmējam un gala labuma guvējam saskaņā ar Komisijas regulu Nr. </w:t>
            </w:r>
            <w:r w:rsidR="00000000" w:rsidRPr="00000000" w:rsidDel="00000000">
              <w:rPr>
                <w:rtl w:val="0"/>
              </w:rPr>
              <w:t xml:space="preserve">2</w:t>
            </w:r>
            <w:r w:rsidR="00000000" w:rsidRPr="00000000" w:rsidDel="00000000">
              <w:rPr>
                <w:rtl w:val="0"/>
              </w:rPr>
              <w:t xml:space="preserve">023/2831</w:t>
            </w:r>
            <w:r w:rsidR="00000000" w:rsidRPr="00000000" w:rsidDel="00000000">
              <w:rPr>
                <w:rtl w:val="0"/>
              </w:rPr>
              <w:t xml:space="preserve"> var pieņemt līdz 2026.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lēmumu par komercdarbības atbalsta piešķiršanu pieņemšanā tiktu ievērots Komisijas regulas Nr.2023/2831 darbības termiņš, aicinām noteikumu 102.punktu papildināt ar atsauci uz attiecīgajiem Komisijas regulas Nr.2023/2831 punktiem, izsakot to, piemēram, šādā redakcijā: "</w:t>
            </w:r>
            <w:r w:rsidR="00000000" w:rsidRPr="00000000" w:rsidDel="00000000">
              <w:rPr>
                <w:i w:val="1"/>
                <w:rtl w:val="0"/>
              </w:rPr>
              <w:t xml:space="preserve">102. Lēmumus par komercdarbības atbalsta piešķiršanu finansējuma saņēmējam un gala labuma guvējam saskaņā ar Komisijas regulu Nr. 2023/2831, ievērojot tās 7. panta 3. punktā un 8. pantā noteikto, var pieņemt līdz 2026. gada 30. jūnijam.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Lēmumus par komercdarbības atbalsta piešķiršanu finansējuma saņēmējam un gala labuma guvējam saskaņā ar Komisijas regulu Nr. 2023/2831, ievērojot tās 7. panta 3. punktā un 8. pantā noteikto, var pieņemt līdz 2026. gada 30. aprīlim.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Lēmumus par komercdarbības atbalsta piešķiršanu finansējuma saņēmējam un gala labuma guvējam saskaņā ar Komisijas regulu Nr. </w:t>
            </w:r>
            <w:r w:rsidR="00000000" w:rsidRPr="00000000" w:rsidDel="00000000">
              <w:rPr>
                <w:rtl w:val="0"/>
              </w:rPr>
              <w:t xml:space="preserve">2</w:t>
            </w:r>
            <w:r w:rsidR="00000000" w:rsidRPr="00000000" w:rsidDel="00000000">
              <w:rPr>
                <w:rtl w:val="0"/>
              </w:rPr>
              <w:t xml:space="preserve">023/2831</w:t>
            </w:r>
            <w:r w:rsidR="00000000" w:rsidRPr="00000000" w:rsidDel="00000000">
              <w:rPr>
                <w:rtl w:val="0"/>
              </w:rPr>
              <w:t xml:space="preserve"> var pieņemt līdz 2026.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Padomes īstenošanas 2021. gada 13. jūlijs lēmumā (CID), ar ko groza Īstenošanas lēmumu par Latvijas atveseļošanas un noturības plāna novērtējuma apstiprināšanu, ir noteikts, ka 2.3.1.2.i investīciju īsteno līdz 2026. gada 30. jūnijam. Līdz ar to lūdzam sniegt skaidrojumu, vai noteikumu 102.punktā noteiktā lēmuma par komercdarbības atbalsta piešķiršanu termiņš ir samērīgs, ņemot vērā, ka 2026.gada 30.jūnijs ir pēdējā investīcijas īstenošanas diena.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noteikumu projekta grozījumos, atbilstoši līdzšinējām neformālajām sarunām ar atzinumu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Lēmumus par komercdarbības atbalsta piešķiršanu finansējuma saņēmējam un gala labuma guvējam saskaņā ar Komisijas regulu Nr. 2023/2831, ievērojot tās 7. panta 3. punktā un 8. pantā noteikto, var pieņemt līdz 2026. gada 30. aprīlim.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132. punktam lūdzam noteikumu projekta 56. punktā norādi uz "MK noteikumiem" aizstāt ar atsauci uz "šiem noteikumiem" atbilstošā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24-TA-111</w:t>
    </w:r>
    <w:r>
      <w:br/>
    </w:r>
    <w:r w:rsidR="00000000" w:rsidRPr="00000000" w:rsidDel="00000000">
      <w:rPr>
        <w:rtl w:val="0"/>
      </w:rPr>
      <w:t xml:space="preserve">27.05.2024. 12.02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24-TA-111</w:t>
    </w:r>
    <w:r>
      <w:br/>
    </w:r>
    <w:r w:rsidR="00000000" w:rsidRPr="00000000" w:rsidDel="00000000">
      <w:rPr>
        <w:rtl w:val="0"/>
      </w:rPr>
      <w:t xml:space="preserve">27.05.2024. 12.02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Izziņa_24-TA-111.docx</dc:title>
</cp:coreProperties>
</file>

<file path=docProps/custom.xml><?xml version="1.0" encoding="utf-8"?>
<Properties xmlns="http://schemas.openxmlformats.org/officeDocument/2006/custom-properties" xmlns:vt="http://schemas.openxmlformats.org/officeDocument/2006/docPropsVTypes"/>
</file>