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23-TA-1064: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1.4.1. specifiskā atbalsta mērķa “Uzlabot digitālo savienojamību” 1.4.1.4. pasākuma "Vienotā kiberdrošības infrastruktūra”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1.4.1. specifiskā atbalsta mērķa “Uzlabot digitālo savienojamību” 1.4.1.4. pasākuma "Vienotā kiberdrošības infrastruktūra”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savus iepriekš izteiktos iebildumus, īpaši vēršot uzmanību uz apstākli (kas norādīts arī iepriekš paustajos iebildumus), ka neskatoties uz Noteikumu projekta izziņā ietverto Satiksmes ministrijas atbildi uz LDDK iesniegtajiem iebildumiem, Noteikumu projekts paredz virkni atbalstāmo darbību, kuras, bez šaubām ir pieejamas brīvos tirgus un konkurences apstākļos – tos līdzvērtīgā vai pat tehnoloģiski augstākā līmenī spēj nodrošināt un nodrošina arī citi tirgus dalībnieki – privāti uzņēmumi, tai skaitā nodrošinot pilnīgu atbilstību izvirzītām drošības un darbības nepārtrauktības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publiskajai pārvaldei pastāv līdzvērtīgas iespējas pilnībā pārraudzīt arī privātu uzņēmumu (pakalpojumu sniedzēju) darbības un veiktspējas nepārtrauktību ar tādiem instrumentiem, kā industriālās drošības atbilstības prasības, valsts kritiskās infrastruktūras atbilstības prasības, nacionālajai drošībai nozīmīgu komersantu pārraudzības instrumenti, kā arī publisko iepirkumu līgumu nosacījumi un saistību izpildes kontroles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LDDK uzskata, ka Noteikumu projekta kontekstā runa ir par nepieciešamību no konkurences neitralitātes viedokļa vērtēt gan atbalsta jomu kopumā, gan arī atsevišķi katru atbalstāmo darbību un nav pieļaujama situācija, ka bez šāda izvērtējuma iepriekš noslēgta deleģēšanas līguma tvērums tiek arvien vairāk paplašināts, turklāt bez konkurējošas procedūras piemērošanas, ar normatīvu izpildvaras lēmumu piešķirot Eiropas Reģionālās attīstības fonda finansējumu valsts kapitālsabiedrībai atbalstāmajām darbībām, kuras tik pat augstā vai augstākā kvalitātes un drošības līmenī, spēj nodrošināt privāti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1.4.1. specifiskā atbalsta mērķa “Uzlabot digitālo savienojamību” 1.4.1.4. pasākuma "Vienotā kiberdrošības infrastruktūra”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1.4.1. specifiskā atbalsta mērķa “Uzlabot digitālo savienojamību” 1.4.1.4. pasākuma "Vienotā kiberdrošības infrastruktūra”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šī Noteikumu projekta virzību bez atbilstoša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1.4.1. specifiskā atbalsta mērķa “Uzlabot digitālo savienojamību” 1.4.1.4. pasākuma "Vienotā kiberdrošības infrastruktūra” īstenošanas noteikumi" (23-TA-1064) (turpmāk – Noteikumu projekts)  VAS “Latvijas valsts radio un televīzijas centrs” (turpmāk - LVRTC)  ir noteikts kā  projekta iesniedzējs, anotācijā to pamatojot, ka LVRTC darbosies saskaņā ar deleģēšanas līgumu par valsts elektronisko sakaru pakalpojumu centra izveidošanu, uzturēšanu un darbības nodrošināšanu, kas noslēgts starp Satiksmes ministriju un LVRT, uzturēšanu un darbības nodrošināšanu, kas noslēgts starp Satiksmes ministriju un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sekojošas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centra kiberaizsardzības nodrošināšana, tas ir, iekārtu un programmatūras nodrošinājums, lai ieviestu pakalpojumu ievainojamību pārvaldību, virtuālo mašīnu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iekārtu un programmatūru nodrošinājums, lai ieviestu pakalpojumu lietotāju tīkla drošības un piekļuves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iekārtu un programmatūru nodrošinājums, lai ieviestu pakalpojumu sistēmu un infrastruktūras iekšējā tīkla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programmatūru nodrošinājums, lai ieviestu drošības pakalpojumu platformu ar sensoriem un monitoringu informācijas sistēmu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iepriekšējos skaidrojumos par Satiksmes ministrijas nolikuma projektu uz LDDK, LTRK kā arī Konkurences padomes paustajiem iebildumiem norādīja, ka gan esošo, gan jauno Satiksmes ministrijas nolikuma projektā minēto uzdevumu deleģēšanai un līgumu noslēgšanai ar LVRTC ir piemērots iekšējā iepirkuma jeb “in-house” iepirkuma princips, kurš paredzēts Publisko iepirkumu likuma 4.pantā, kas dod tiesības, izpildoties noteiktiem kritērijiem, nerīkot publiskā iepirkuma procedūru (turpmāk – “in-house”).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uzdevumi un tajos ietvertie pakalpojumi, kas ar Satiksmes ministrijas nolikumu tiek deleģēti LVRTC, tajā skaitā tie, kas minēti šajā Noteikumu projektā ir pieejami brīvos tirgus un konkurences apstākļos – tos līdzvērtīgā vai pat tehnoloģiski augstākā līmenī spēj nodrošināt un nodrošina arī citi tirgus dalībnieki – privāti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Publiskajos iepirkumos, t.sk. “in-house” iepirkumos, ir jānodrošina konkurences neitralitāte - pasūtītājam iepirkumos ir jānodrošina godīgi konkurences apstākļi starp tirgus dalībniekiem. Lai arī atbilstoši publisko iepirkumu jomas normatīvajiem aktiem izņēmuma gadījumos ir pieļaujama in-house procedūra, tomēr pasūtītājiem ir pienākums izvērtēt ietekmi uz konkurences neitralitāti, jo piemērojot konkrēto “in-house” procedūru var tikt radītas nepamatotas priekšrocības publiskas personas kapitālsabiedrībai un tikt izslēgta tirgus dalībnieku iespēja pretendēt uz konkrētā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un pastarpinātās pārvaldes iestādei, kā arī kapitālsabiedrībai, kurā publiskai personai ir izšķiroša ietekme, ir aizliegts ar savu darbību kavēt, ierobežot vai deformēt konkurenci. "In house" princips ir vēlams un piemērojams tikai tādos gadījumos, kad pastāv tirgus nepilnība un tirgū šo preču vai pakalpojumu pieejamību nespēj nodrošināt privātie tirgus dalībnieki.  In-house izņēmuma piemērošanai ir pienākums rūpīgi izsvērt konkrētā izņēmuma tvērumu un piemērošanas nosacījumus, lai nepieļautu nepamatotu konkurences ierobežošanu un secīgi, arī neatļauta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lēmuma pieņemšanas piemērojot in-house principu, Satiksmes ministrijai gan par iepriekš noslēgtajiem deleģēšanas līgumiem, gan par turpmākajiem būtu jāpārliecinās: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konkrētos pakalpojumus varētu sniegt arī publiskā iepirkuma procedūras rezultātā izvēlēts privāts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pakalpojumi tiks sniegti pietiekami efektīvi un valsts pārvalde nepārmaksās par saņemtajiem pakalpojumiem (salīdzinājumā ar privāto komersantu piedāvātajām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būs in-house principa piemērošanas ietekme uz konkurenci konkrētajā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izvērtējums  pirms iepriekš noslēgto deleģējuma līgumiem ar LVRTC  nav bijis nodrošināts, minētais deleģēšanas līgums uz kā pamata šo Noteikumu projektā minēto pakalpojumu nodrošināšanā kā projekta īstenotājs norādīts LVRTC, kas ietver tādu pakalpojumu sniegšanu, kurus spēj nodrošināt un iepriekš ir nodrošinājuši arī privātie komersanti, noslēgti uz termiņu, kas pārsniedz pat 15 gadus -piemēram, deleģēšanas līgums par valsts elektronisko sakaru pakalpojumu centra izveidošanu, uzturēšanu un darbības nodrošināšanu. (spēkā no 02.09.2019. līdz 31.12.2029. – līguma darbības laiks 15 gadi un 4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tas vien, ka ir spēkā esoši pirms noslēgti deleģēšanas līgumi par konkrētu funkciju nodošanu LVRTC, neapliecina, ka Satiksmes ministrija, slēdzot deleģēšanas līgumu, ir veikusi atbilstošu izvērtējumu par nepieciešamību Satiksmes ministrijas nolikumā iekļauto konkrēto funkciju nodot tieši LVRTC. Proti, uzskatām, ka labas prakses un godīgas konkurences veicināšanai būtu jāveic detalizēts izvērtējums pirms jebkuru valstisku funkciju uzticēšanas kādai juridiskai vai fiziskai personai, jo sevišķi, ja deleģējuma pamatojums balstīts uz tādiem Satiksmes ministrijas argumentiem par “iepriekšēju pieredzi, pozitīvu iepriekšēju sadarbību un efektivitāti” vai “privāto komersantu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uzskatām, ka bez atbilstoša izvērtējuma noslēgtie deleģēšanas līgumi nav uzskatāmi par tiesiski un normatīvajiem aktiem atbilstošā kārtībā noslēgtiem, rada tiešas nepamatotas priekšrocības publiskas personas kapitālsabiedrībai – LVRTC, un tiek izslēgta tirgus dalībnieku iespēja pretendēt uz konkrētā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07.07.2023. Konkurences padome sniedza iebildumus par Satiksmes ministrijas nolikuma projektu, kurā tā norādīja, ka Valsts pārvaldes iekārtas likuma (turpmāk – VPIL) 40.panta pirmā daļa paredz publiskās personas novērtējumu, ka persona, ar kuru paredzēts slēgt deleģējuma līgumu, tai uzticēto uzdevumu varēs veikt efektīvāk nekā pati publiskā persona. Vienlaikus publiskai personai, izvēloties uzticēt pārvaldes uzdevumu veikšanu citai personai, jāizvēlas tāda persona, kas spēs uzdevumu izpildīt iespējami efektīvāk, t.sk. salīdzinājumā ar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viedoklī Konkurences padome aicināja Satiksmes ministriju detalizēti izvērtēt iespēju iesaistīt privātos tirgus dalībniekus Satiksmes ministrijas nolikuma projekta 5.2.1 punktā minēto uzdevumu izpildē vai arī norādīt uz apsvērumiem, kas liecina, ka Satiksmes ministrijas nolikuma projekta 5.2.1. punktā minēto uzdevumu deleģēšana LVRTC ir efektīvākais uzdevumu izpildes veids, attiecīgi papildinot anotāciju par katra deleģējuma priekšmeta atbilstību Valsts pārvaldes iekārtas likuma  (turpmāk – VPIL) 88.pantam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Satiksmes ministrijas nolikuma projekta izziņā Satiksmes ministrija norāda, ka Konkurences padomes iebildumi ir ņemti vērā, atsaucoties uz anotācijā minētajiem iepriekš noslēgtajiem daudzgadīgajiem deleģējuma līgumiem par katras no Satiksmes ministrijas nolikuma projektā minētās funkcijas nodošanu LVRTC, kā arī norādot, ka netiek deleģētas jaunas funkcijas, un funkciju nodošanas LVRTC juridiskais pamatojums jau ir iekļauts anotācijā, ar to saprotot atsauces uz konkrētiem normatīvajiem regulējumiem un Ministru kabineta rīkojumiem, uz kuru pamata noslēgti deleģēšanas līgumi, norādām, ka šāds ministrijas skaidrojums nav pietiekams, lai varētu uzskatīt, ka pēc būtības ņemti vērā un izskaidroti vairāku institūciju paustie iebildumi un viedokļi attiecībā uz tiesību akta saturu, īpaši attiecībā uz iespējamiem konkurences riskiem. Tāpat sniegtais skaidrojums ir pretrunā ar iepriekš Satiksmes ministrijas norādīto, ka ar šo Satiksmes ministrijas nolikuma projektu ne tikai tiek noteikti jau iepriekš deleģēti, bet arī jauni uzdevumi, jo deleģēto uzdevumu tālāko apjomu nosaka jauni  MK noteikumi – tajā skaitā šo Noteikumu projekts, kuros noteiktie pakalpojumi tiek paplašināti.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Satiksmes ministriju katrā no deleģētajiem uzdevumiem, bet jo sevišķi deleģēšanas līgumam par valsts elektronisko sakaru pakalpojumu centra izveidošanu, uzturēšanu un darbības nodrošināšanu. (spēkā no 02.09.2019. līdz 31.12.2029. - 15 gadus un 4 mēnešus), veikt normatīvajiem aktiem atbilstošu izvērtējumu, kas pamato, ka attiecīgo pakalpojumu nodrošināšanai pastāv tirgus nepilnība un to pieejamību nespēj nodrošināt citi tirgus dalībnieki vai arī nodrošināt pakalpojumu sniedzēja izvēli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aicinām Finanšu ministriju un Konkurences padomi sniegt vērtējumu par Satiksmes ministrijas nolikuma projektā un šajā Noteikumu projektā minēto funkciju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aicinām Vides aizsardzības un reģionālās attīstības ministriju sniegt apstiprinājumu, ka Satiksmes ministrijas noslēgtajos deleģēšanas līgumos, tajā skaitā šajā Noteikumu projektā minētie pakalpojumi, ir pieejami arī brīvā tirgū un tos spēj nodrošināt arī citi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pasākums tiks īstenots deleģētā valsts pārvaldes uzdevuma ietvaros saskaņā ar deleģēšanas līgumu par valsts elektronisko sakaru pakalpojumu centra izveidošanu, uzturēšanu un darbības nodrošināšanu, kas noslēgts starp Satiksmes ministriju un  VAS “Latvijas valsts radio un televīzijas centrs” (turpmāk –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pakalpojumi tiks nodrošināti un attīstīti esošā deleģējuma līguma ietvaros. Par deleģējuma līgumu saskaņā ar Valsts pārvaldes iekārtas likuma 45. panta pirmo daļu un atbilstoši Valsts pārvaldes iekārtas likuma 42. pantā minētajiem deleģēšanas nosacījumiem, tostarp, ņemot vērā LVRTC pieredzi, reputāciju, resursus, personāla kvalifikāciju, ir lēmis Ministru kabinets (Ministru kabineta 2019. gada 9. jūlijā rīkojums Nr. 344 “Par ārkārtas situāciju valsts elektronisko sakaru tīkla izbūves un elektronisko sakaru pakalpojumu centra izveides deleģēšanu valsts akciju sabiedrībai “Latvijas Valsts radio un televīzijas centrs””), tādēļ Satiksmes ministrijas ieskatā nav pamata apšaubīt noslēgtā deleģējuma līguma tiesiskumu.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likums definē valsts elektronisko sakaru pakalpojumu centru (turpmāk – VESPC) kā tehnisko līdzekļu un pakalpojumu kopumu, kas publiskajai personai, publiskās personas kapitālsabiedrībai un publiskās personas kontrolētai kapitālsabiedrībai nodrošina infrastruktūru ar augstu konfidencialitāti, integritāti un pieejamību informācijas sistēmām un ar tām saistītajiem tehnoloģiskajiem risinājumiem, kā arī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lēmumus, tostarp par deleģēšanas līgumu slēgšanu, valsts pārvalde ievēro Valsts pārvaldes iekārtas likumā noteiktos principus, kas paredz, ka valsts pārvalde darbojas sabiedrības interesēs. Valsts pārvaldei, atsevišķai iestādei vai amatpersonai, īstenojot valsts pārvaldes funkcijas, nav savu interešu. Tādējādi deleģēšanas līgumu slēgšana ir skatāma ne tikai no brīvas konkurences veicināšanas aspekta, kā to šajā iebildumā uzsver LDDK, bet ir vērtējami arī citi valstij un sabiedrībai būtiski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ir 100% valstij piederošs, neprivatizējams uzņēmums, un šāds statuss nodrošina publiskai pārvaldei iespēju pilnībā pārraudzīt tā darbības virzienus un līdz ar to arī veiktspējas nepārtrauktību. Uzdevumi, kas tiek deleģēti LVRTC, vairumā gadījumu ir tieši saistīti ar valsts drošības un suverenitātes jautājumiem, (piemēram, Ārējās sauszemes robežas infrastruktūras izbūves likumā noteiktā nodrošināšanai), kas esošajā ģeopolitiskajā situācijā ir būtiski un nozīmīgi. Veicot šādus deleģējumus, netiek apšaubīta nozares spēja sniegt pakalpojumus, bet tiek nodrošināts, ka valsts savus aizsardzības risinājumus patur savā pārziņā bez riska, ko veido jebkurš pakalpojuma sniedzējs, kas darbojas (vai pārstāj darboties) tirgū un pieņem lēmumus uz finansiālā izdevīguma principiem. Visi deleģējumi ir uzticēti LVRTC tikai tiktāl, cik to prasa ar valsts kompetento iestāžu un aizsardzības jomu saistītie lēmumi. Ja līdzvērtīgi pakalpojumi ir nesaistīti ar valsts suverenitāti, drošību, tad tie ir ārpus deleģējuma ietvara un brīvi nodrošināmi tirgus apstākļos ievērojot saistošo tiesību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atbalstāmās darbības, kas ievieš infrastruktūru, lai tālāk attīstītu un nodrošinātu noteiktus kiberdrošības pakalpojumus VESPC lietotājiem, ir tieši saistītas ar valsts drošības un suverenitātes jautājumiem, tie ir stratēģiski svarīgi valsts drošībai, īpaši ņemot vērā to, ka VESPC lietotāju vairākums ir tādas valsts vai pašvaldības kritiskās infrastruktūras turētāji, kuras iznīcināšana vai darbības spēju samazināšana var apgrūtināt valsts vai pašvaldības pārvaldīšanu un apdraudēt sabiedrības un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augošo kiberuzbrukumu skaitu nepieciešams attīstīt un uzturēt augstā darbības gatavībā kiberdrošības rīkus, lai nodrošinātu valsts iedzīvotājiem pieejamību sabiedrībai būtiskiem valsts e-pārvaldes portāliem (piemēram, eParaksts, e-veselība, zemesgrāmata u.c). Ja nebūs nodrošināta informācijas sistēmu un to datu kiberdrošība, tad pastāv augsti riski, ka kritiskās informācijas sistēmas tiks kompromitētas, tiks bojātas un pārstās darboties, kas radīs šo sistēmu nepieejamību valsts iedzīvotājiem un valsts pārvaldei ikdienas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kā atbildīgs pakalpojuma sniedzējs sniegto kiberdrošības pakalpojumu ietvaros attīsta VESPC lietotāju kiberdrošības spējas, tostarp meklējot jaunus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nodrošinās, ka sarežģītu, svarīgu kiberdrošības tehnoloģiju iegāde un pielietošana tiek apvienota ar attiecīgu kiberdrošības speciālistu prasmēm. VESPC lietotājiem esošā deleģējuma ietvarā tiks nodrošināti augstas pieejamības un augstas efektivitātes pakalpojumi, kas sevī ietvers gan tehnoloģiju, gan cilvēkresursus. Tāpat VESPC lietotājiem būs pieejami ne tikai kiberdrošības pakalpojumi incidentu identificēšanai un novēršanai, bet arī kiberpoligons, kurā varēs simulēt VESPC lietotāju IT infrastruktūru, lai veiktu mācību kiberuzbrukumus un mācītos tos novērst realitātei pietuvinātos apstākļos.Šāda veida pakalpojums un tehnoloģiskais risinājums saskaņā ar Satiksmes ministrijas kā vadošās valsts pārvaldes iestādes elektronisko sakaru nozarē rīcībā esošo informāciju   Latvijā vēl nav pielietots un neviens no komersantiem šādus pakalpojumus nenodrošina. Ir būtiski, lai valsts savus aizsardzības risinājumus varētu paturēt savā pārziņā.Valsts kiberdrošības pakalpojumu izvietošana publiskos mākoņos ārpus Latvijas teritorijas var apgrūtināt drošības incidentu novēršanas institūcijām kritiskās infrastruktūras pārbaužu veikšanu atbilstoši Ministru kabineta 2011. gada 1. februāra noteikumiem Nr. 100 “Informācijas tehnoloģiju kritiskās infrastruktūras drošības pasākumu plānošanas un īstenošanas kārtība”. Līdz ar to LVRTC deleģējuma ietvaros VESPC lietotāju vajadzībām nodrošinās pilnu kontroli pār kiberdrošības analīzei nepieciešamajiem datiem, kā arī krīzes gadījumā kā, piemēram, maģistrālo interneta kabeļu bojājumu gadījumā, VESPC lietotājiem LVRTC nodrošinātie kiberdrošības pakalpojumi turpinās veiksmīgi darboties arī bez starptautiskā interneta pieslēguma pieejamības. Visas plānotās kiberdrošības tehnoloģijas, uz kuru pamata tiktu veidoti VESPC lietotāju kiberdrošības pakalpojumi, tiks izvietotas loģiski vienotā datu centrā (LVDC) Latvijā un visi dati tiks apstrādāti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esošā VESPC deleģējuma pamatmērķis ir valsts drošības un suverenitātes nodrošināšanai nepieciešamo pakalpojumu sniegšana, attiecīgi šīm darbībām nav ekonomiska rakstura un uz tām nav attiecināms Komercdarbības atbalsta kontroles likuma 1. panta otrās daļas 9. punkts. Ievērojot minēto, šīm darbībām nav piemērojams ne komercdarbības atbalsta kontroles regulējums, ne regulējums, kas attiecas uz  pakalpojumu ar vispārēju tautsaimniecisku nozīmi. Noteikumu projekta ietvaros plānotās investīcijas nodrošina Elektronisko sakaru likumā dotā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LVRTC deleģējumi atbilst Valsts pārvaldes iekārtas likuma 88. panta pirmās daļas 3. punktā noteiktajam, proti, ka valsts kapitālsabiedrības iesaiste uzdevumu izpildē ir pamatota, ja tā ir ar mērķi pārvaldīt tādus īpašumus, kas ir stratēģiski svarīgi valsts vai pašvaldības administratīvās teritorijas attīstībai vai valsts drošībai, par ko katrā atsevišķā deleģēšanas gadījumā argumentētu lēmumu ir pieņēmis arī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līdzīga satura Latvijas Tirdzniecības un rūpniecības kameras un LDDK 2023. gada 4. septembra iesniegumu savas kompetences ietvaros atbildi ir sniegusi Konkurences padome ar 2023. gada 5. oktobra vēstuli Nr. 1.7- 1/1206 “Par Satiksmes ministrijas nolikumu”, atzīstot, ka nav pamata apšaubīt noslēgto deleģējuma līgumu tiesiskumu. Līdz ar to nav pamata apšaubīt Konkurences padomes kompetenci ar konkurenci saistīto jautājumu 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1.4.1. specifiskā atbalsta mērķa “Uzlabot digitālo savienojamību” 1.4.1.4. pasākuma "Vienotā kiberdrošības infrastruktūra”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ne mazāk kā 4 350 000 euro, tai skaitā Eiropas Reģionālās attīstības fonda finansējums 3 697 500 euro (tai skaitā elastības finansējuma apjoms 583 189 euro) un privātais finansējums – ne mazāks par 652 500 euro. Maksimālais attiecināmais Eiropas Reģionālās attīstības fonda finansējuma apmērs nepārsniedz 85 procentus no projekta kopējā attiecināmā finansējuma, nepārsniedzot izmaksu un ieguvumu analīzē iegūto finansējuma deficīta procentuālo apmēru noteikto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noteikumu projektā tiek saprasts ar jēdzienu "privātais</w:t>
            </w:r>
            <w:r w:rsidR="00000000" w:rsidRPr="00000000" w:rsidDel="00000000">
              <w:rPr>
                <w:rtl w:val="0"/>
              </w:rPr>
              <w:t xml:space="preserve"> finansējums</w:t>
            </w:r>
            <w:r w:rsidR="00000000" w:rsidRPr="00000000" w:rsidDel="00000000">
              <w:rPr>
                <w:rtl w:val="0"/>
              </w:rPr>
              <w:t xml:space="preserve">" un "privātie līdzekļi", kāds ir šī finansējuma avots. Ja minētā finansējuma avots ir valsts budžets, tad lūdzam noteikumu projektā jēdzienu "privātais finansējums" aizstāt ar jēdzienu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ar jēdzienu “privātais finansējums” tiek saprasts projekta īstenotāja – komersanta VAS “Latvijas valsts radio un televīzijas centrs” (LVRTC) ieguldītais finansējums - savi līdzekļi atbilstoši Ministru kabineta  2023. gada 25. aprīļa noteikumu “Valsts budžeta līdzekļu plānošanas kārtība Eiropas Savienības fondu projektu īstenošanai un maksājumu veikšanai 2021.–2027. gada plānošanas periodā” 24.punktam.  LVRTC privātā līdzfinansējuma avots ir pašu ieņēmumi no pakalpojumiem, ko minētais komersants sniedz saviem klientiem.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vismaz 4 350 000 euro (tai skaitā elastības finansējuma apjoms 686 104 euro), tai skaitā Eiropas Reģionālās attīstības fonda finansējums 3 697 500 euro (tai skaitā elastības finansējuma apjoms 583 189 euro) un privātais līdzfinansējums – ne mazāk kā 652 500 euro (tai skaitā elastības finansējuma apjoms 102 915 euro). Maksimālā Eiropas Reģionālās attīstības fonda finansējuma intensitāte ir 85 procenti no projektam plānotā kopējā attiecināmā finansējuma, nepārsniedzot izmaksu un ieguvumu analīzē aprēķināto finansējuma deficīta procentuālo apmēru, un privātais līdzfinansējums nav mazāks par 15 procentiem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ne mazāk kā 4 350 000 euro, tai skaitā Eiropas Reģionālās attīstības fonda finansējums 3 697 500 euro (tai skaitā elastības finansējuma apjoms 583 189 euro) un privātais finansējums – ne mazāks par 652 500 euro. Maksimālais attiecināmais Eiropas Reģionālās attīstības fonda finansējuma apmērs nepārsniedz 85 procentus no projekta kopējā attiecināmā finansējuma, nepārsniedzot izmaksu un ieguvumu analīzē iegūto finansējuma deficīta procentuālo apmēru noteikto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finansējuma atspoguļošanai izmantot piemēru normu redakcijām par plānoto un pieejamo finansējumu no Vadlīnijām Ministru kabineta noteikumu par specifiska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attiecināmais finansējums ir XX euro (tai skaitā elastības finansējuma apjoms XX euro), tai skaitā ERAF finansējums XX euro (tai skaitā elastības finansējuma apjoms XX euro) un privātais līdzfinansējums – ne mazāk kā XX euro (tai skaitā elastības finansējuma apjoms XX euro). Maksimālā ERAF finansējuma intensitāte ir 85 % no projektam plānotā kopējā attiecināmā finansējuma, nepārsniedzot izmaksu un ieguvumu analīzē aprēķināto finansējuma deficīta procentuālo apmēru, un nacionālais līdzfinansējums nav mazāks par 15 % no projektam plānotā kopējā attiecināmā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arī anotācijas 1.3. un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vismaz 4 350 000 euro (tai skaitā elastības finansējuma apjoms 686 104 euro), tai skaitā Eiropas Reģionālās attīstības fonda finansējums 3 697 500 euro (tai skaitā elastības finansējuma apjoms 583 189 euro) un privātais līdzfinansējums – ne mazāk kā 652 500 euro (tai skaitā elastības finansējuma apjoms 102 915 euro). Maksimālā Eiropas Reģionālās attīstības fonda finansējuma intensitāte ir 85 procenti no projektam plānotā kopējā attiecināmā finansējuma, nepārsniedzot izmaksu un ieguvumu analīzē aprēķināto finansējuma deficīta procentuālo apmēru, un privātais līdzfinansējums nav mazāks par 15 procentiem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Pieejamais kopējais attiecināmais finansējums līdz 2025. gada 31. decembrim, lai slēgtu līgumu par projekta īstenošanu, ir ne mazāks kā 3 663 895 euro, tai skaitā Eiropas Reģionālās attīstības fonda finansējums – 3 114 311 euro un privātais līdzfinansējums – ne mazāks kā 549 584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finansējuma atspoguļošanai izmantot piemēru normu redakcijām par plānoto un pieejamo finansējumu no Vadlīnijām Ministru kabineta noteikumu par specifiska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XX euro apmērā, tai skaitā ERAF finansējumu – XX euro apmērā, privāto līdzfinansējumu – XX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atbilstoši ES kohēzijas politikas programmas Latvijai 2021. - 2027.gadam papildinājumam kopējā attiecināmā finansējuma summa bez elastības finansējuma ir 3 663 896 euro un nacionālais līdzfinansējums bez elastības finansējuma ir 549 585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anotācijas 1.3. un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precizēts atbilstoši ES kohēzijas politikas programmas Latvijai 2021. - 2027.gadam papildinājumam (https://www.esfondi.lv/profesionaliem/planosana/planotas-atlases-2 )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informācija anotācijas 1.3. un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Pieejamais kopējais attiecināmais finansējums līdz 2025. gada 31. decembrim, lai slēgtu līgumu par projekta īstenošanu, ir ne mazāks kā 3 663 896 euro, tai skaitā Eiropas Reģionālās attīstības fonda finansējums – 3 114 311 euro un privātais līdzfinansējums – ne mazāks kā 549 585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uzņemas segt sadārdzinājumu, kas radīsies īstenojot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plāno šādas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un iekļauta iespēja piemērot vienkāršotās izmaksas personāla atlīdzības izmaksām (skat. arī izziņas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Projekta vadības un īstenošanas personāla izmaksas plāno kā vienu izmaksu pozīciju, piemērojot vienoto izmaksu likmi 11 procentu apmērā no šo noteikumu 17.1., 17.2., 17.3., 17.4. un 17.5. apakšpunktā minētajām projekta pārējām tiešajām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plāno šādas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iesniegumu pamatojošās dokumentācijas sagatavošanas izmaksas (izņemot izmaksas par projekta iesnieguma informācijas sagatavošanu un aizpildīšanu Kohēzijas politikas vadības un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minētā ierobežojuma iekļaušanu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17.1. apakšpunktā minētās izmaksas nepārsniedz 10 procentus no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iesniegumu pamatojošās dokumentācijas sagatavošanas izmaksas (izņemot izmaksas par projekta iesnieguma informācijas sagatavošanu un aizpildīšanu Kohēzijas politikas vadības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projekta vadības personāla atlīdzības izmaksas, kas radušās uz darba līguma vai uzņēmuma līguma pamata, tostarp piemaksas un nodokļi,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norādīta informācija nesatur pamatotu argumentus vienkāršoto izmaksu nepiemērošanai personāla atlīdzības izmaksām, jo to piemērošana tieši veicinās projekta sekmīgu īstenošanu, lūdzam projekta vadības un īstenošanas personāla atlīdzības izmaksām piemērot Regulas Nr.2021/1060 55. panta 1.punktā noteikto iespēju, tas ir  izmantot līdz 20% vienoto likmi, ņemot vērā, ka tas samazinās administratīvo slogu visiem iesaistītajiem. Vienotās likmes piemērošanas gadījumā tās apmērs ir saskaņojams ar VI un apraksts iekļaujams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un noteikumu projekta 17.6. punktā paredzēta iespēja piemērot vienkāršotās izmaksas personāla atlīdzības izmaksām (skat. gala redakciju izziņas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ar vadošo iestādi saskaņota skaidrojoša informācija par personāla izmaksu vienotās likmes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informācijas un publicitātes pasākumu izmaksas atbilstoši normatīvajiem aktiem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17.7.apakšpunktā precizēt kārtības nosaukumu, izsakot to tādā pašā redakcijā kā tas ir noteikts noteikumu projekta 21.4.apakšpunktā.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komunikācijas un vizuālās identitātes prasību nodrošināšanas pasākumu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īstenošanā radušās izmaksas var uzskatīt par attiecināmām finansēšanai no Eiropas Reģionālās attīstības fonda, ja tās atbilst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ietvertajām izmaksu pozīcijām un ir radušās ne agrāk kā 2022. gada 25.novembrī. Projekta iesniegumā neiekļauj un finansējumu nepiešķir pabeigtām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izmaksu attiecināmības termiņa (2022.gada 25.novembris)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iekļauts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īstenošanā radušās izmaksas var uzskatīt par attiecināmām finansēšanai no Eiropas Reģionālās attīstības fonda, ja tās atbilst šo noteikumu 17. punktā ietvertajām izmaksu pozīcijām un ir radušās ne agrāk kā 2022. gada 25.novembrī. Projekta iesniegumā neiekļauj un finansējumu nepiešķir pabeigtām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izstrādā iekšējās kontroles sistēmu, ietverot tajā informāciju par interešu konflikta, krāpšanas, korupcijas risku un dubultā finansējuma novēršanas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finansējuma saņēmējs parakstīs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prasību parakstīt interešu konflikta neesamības apliecinājumu, kā arī anotācijas 1.3. sadaļa papildināta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izstrādā iekšējās kontroles sistēmu, ietverot tajā informāciju par interešu konflikta, krāpšanas, korupcijas risku un dubultā finansējuma novēršanas mehānismu, kā arī nodrošina, ka finansējuma saņēmēja darbinieki, kuri saistīti ar projekta īstenošanu, paraksta interešu konflikta neesamības apliecinājumu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un publiskos iepirkumus regulējošo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tam, kad noslēgts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2021.–2027. gada plānošanas periodā var piešķirt finansējuma saņēmējam avansa maksājumus. Maksimālais avansa apjoms nevar pārsniegt 30 procentus no projektam piešķirtā Eiropas Reģionālās attīstības fonda finansējuma. Avansu var izmaksāt vairākos maksājumos. Sadarbības iestāde, veicot avansa un starpposma maksājumus, ievēro nosacījumu, ka to kopsumma nedrīkst pārsniegt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22.punktu precizēt šādā redakcijā, kā arī izvērtēt iespēju sadalīt punktu atsevišķos punktos labākai uztverei: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Pēc līguma par projekta īstenošanu noslēgšanas</w:t>
            </w:r>
            <w:r w:rsidR="00000000" w:rsidRPr="00000000" w:rsidDel="00000000">
              <w:rPr>
                <w:rtl w:val="0"/>
              </w:rPr>
              <w:t xml:space="preserve">, sadarbības iestāde, pamatojoties uz finansējuma saņēmēja rakstisku avansa pieprasījumu, atbilstoši normatīvajam aktam par valsts budžeta līdzekļu plānošanu Eiropas Savienības struktūrfondu un Kohēzijas fonda projektu īstenošanai un maksājumu veikšanu 2021.–2027. gada plānošanas periodā var piešķirt finansējuma saņēmējam avansa maksājumus. Maksimālais avansa apjoms nevar pārsniegt 30 procentus no projektam piešķirtā Eiropas Reģionālās attīstības fonda finansējuma. Avansu var izmaksāt vairākos maksājumos. </w:t>
            </w:r>
            <w:r w:rsidR="00000000" w:rsidRPr="00000000" w:rsidDel="00000000">
              <w:rPr>
                <w:u w:val="single"/>
                <w:rtl w:val="0"/>
              </w:rPr>
              <w:t xml:space="preserve">Finansējuma saņēmējs avansa pieprasījumu sagatavo, un sadarbības iestāde avansa pieprasījumu apstiprina, ņemot vērā nosacījumu, ka plānotā avansa apmērs, tā pamatojums atbilst spējai to izlietot sešu mēnešu laikā.</w:t>
            </w:r>
            <w:r w:rsidR="00000000" w:rsidRPr="00000000" w:rsidDel="00000000">
              <w:rPr>
                <w:rtl w:val="0"/>
              </w:rPr>
              <w:t xml:space="preserve"> Sadarbības iestāde, veicot avansa un starpposma maksājumus, ievēro nosacījumu, ka to kopsumma nedrīkst pārsniegt 90 procentus no projektam piešķirtā Eiropas Reģionālās attīstības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potenciālais projekta īstenotājs informējis, ka avanss nav nepieciešams, līdz ar to nav iespējams pamatot atbilstošu avansa apmēru (skat. arī izziņas 25. punktu, 43.punktu un 46.punktu).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1.3. punktā "Pašreizējā situācija, problēmas un risinājumi" sadaļā "Risinājuma apraksts" noteikts, ka "LVRTC kā Centra nodrošinātājam būs iespēja: 1) Centra lietotājiem sniegt SOC pakalpojumu, papildu SOC pakalpojumu (Threat inteligence, XDR, ievainojamību identificēšana un pielietojamības noteikšana, PIM/PAM), kā arī kiberpoligona mācību un simulācijas pakalpojumu." Savukārt anotācijas (ex-ante) 3. punktā "Tiesību akta projekta ietekme uz valsts budžetu un pašvaldību budžetiem" sadaļā "Cita informācija" noteikts: "Pasākuma rezultātu ilgtspēja un uzturēšana pēc projekta noslēgšanas tiks nodrošināta LVRTC deleģētā valsts pārvaldes uzdevuma ietvaros no centra lietotāju maksājumiem saskaņā ar Ministru kabineta 2022. gada 8. novembra instrukcijas Nr. 5 “Valsts elektronisko sakaru pakalpojumu centra nodrošināšanas kārtība”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Nacionālās kiberdrošības likuma projekta 28. panta (3) daļa nosaka "Drošības operāciju centru izveido un darbību datu centrā nodrošina kompetentā kiberincidentu novēršanas institūcija." Papildus vēršam uzmanību, ka saskaņā ar Informatīvo ziņojumu “Par valsts kiberdrošības pārvaldības uzlabošanu” (Tiesību akta lietas ID 21-TA-1699) SOC pakalpojumu valsts un pašvaldību institūcijām finansēs un nodrošinās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Aizsardzības Ministrija secina, ka LVRTC plāno nodrošināt pēc būtības identisku pakalpojumu tam, ko plāno nodrošināt CERT.LV. Jāuzsver, ka CERT.LV Drošības operāciju centra pakalpojumus valsts nozīmes koplietošanas datu centros nodrošinās no valsts budžeta līdzekļiem un pakalpojuma saņēmējiem tā saņemšanai nebūs jāplāno atsevišķi budžeta līdzekļi. Līdz ar to Aizsardzības ministrijas skatījumā, lai novērstu risku, ka tiek nesaimnieciski izlietoti valsts budžeta līdzekļi, detalizētāk jāskaidro abu risinājumu līdzāspastāvēšana un jānodrošina to dekonfliktēšana. Attiecīgi lūdzam precizēt anotācijas tekstu, skaidrojot LVRTC un CERT.LV plānoto pakalpojumu būtību, atšķirības un paredzēto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iekļaujot detalizētu skaidrojumu par LVRTC un CERT.LV risinājumu līdzāspastāvēšanu, plānoto pakalpojumu būtību un saņēmēju loku, kā arī paredzēta iespēja veidot darba grupu abu institūciju kiberdrošības risinājumu koordinēšanai, tādējādi ieviešamais  kiberdrošības risinājums VESPC ietvaros  tiks saskaņots ar Aizsardzības ministriju un CERT.LV. Papildus, skaidrākai izpratnei pēc konsultēšanās ar AM ir saskaņota abu risinājumu aprakstam izmantotā terminoloģija anotācijā  un noteikumu projekta 11.1.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 Pašreizējā situācija, problēmas un risinājumi nosaka: "Vienlaikus LVRTC veic deleģēto valsts pārvaldes uzdevumu Centra nodrošināšanā saskaņā ar Deleģēšanas līgumu par valsts elektronisko sakaru pakalpojumu centra izveidošanu, uzturēšanu un darbības nodrošināšanu Nr.SAM 2019/31, kas noslēgts ar Satiksmes ministriju, kā arī saskaņā ar Ministru kabineta 2022. gada 8. novembra instrukciju Nr. 5 “Valsts elektronisko sakaru pakalpojumu centra nodrošināšanas kārtība” (turpmāk – VESPC instrukcija)" un 3.sadaļa "Cita informācija" nosaka: "Pasākuma rezultātu ilgtspēja un uzturēšana pēc projekta noslēgšanas tiks nodrošināta LVRTC deleģētā valsts pārvaldes uzdevuma ietvaros no centra lietotāju maksājumiem  saskaņā ar Ministru kabineta 2022. gada 8. novembra instrukcijas Nr. 5 “Valsts elektronisko sakaru pakalpojumu centra nodrošināšanas kārtība”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22.6. punktu, kas nosaka, ka, īstenojot projektu, finansējuma saņēmējs "nodrošina, lai projektā ieviestā infrastruktūra tiktu izmantota tikai deleģētā valsts pārvaldes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labojumus noteikumu projektā, ir tikusi svītrota norāde uz deleģēto valsts pārvaldes uzdevumu, lūdzam atbilstoši labot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precizēts, iekļaujot norādi uz deleģēto valsts pārvaldes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 kādiem līdzekļiem tiks nodrošināta pasākuma rezultātu ilgtspēja un uzturēšana pēc projekta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rezultātu ilgtspēja un uzturēšana pēc projekta noslēgšanas tiks nodrošināta LVRTC deleģētā valsts pārvaldes uzdevuma ietvaros no centra lietotāju maksājumiem  saskaņā ar Ministru kabineta 2022. gada 8. novembra instrukcijas Nr. 5 “Valsts elektronisko sakaru pakalpojumu centra nodrošināšanas kārtība”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kārtību, kādā finansējuma saņēmējam būs iespēja pieteikties un saņemt avansa un starpposma maksājumus, ņemot vērā noteikumu projektā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iekļaut piešķiramā avansa maksimālā apjoma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potenciālais projekta īstenotājs informējis, ka avanss nav nepieciešams, līdz ar to nav iespējams pamatot atbilstošu avansa apmēru (skat. arī izziņas 12, punktu, 25. punktu, 43.punktu un 46.punktu).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4.punktu, lūdzam MK noteikumu anotācijā ietvert arī informāciju par plānotā ES fonda finansējuma dalījumu pa intervences kategorijām, ievērojot programmas SAM līmenī noteiktos intervences kodus: intervences laukums, finansējuma veids, teritoriālie sasniegšanas mehānismi, ESF+ sekundārās tēmas, dzimumu līdztiesība.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plānotā ES fonda finansējuma dalījumu pa intervences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atbilst šādām intervences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kods 36 - IKT: cita veida IKT infrastruktūra (tostarp lielapjoma datorresursi/iekārtas, datu centri, sensori un citas bezvadu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veida kods 01 –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teritoriālo sasniegšanas mehānismu kods 33 -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sekundārās tēmas kods 09 –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līdztiesības kods 03 - dzimumu neitralitāte.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sadaļas 1. tabulā (turpmāk – Tabula) norādītas Eiropas Savienības regulu vienības, kas ieviestas tabulas B ailē norādītajās noteikumu projekta vienībās. Savukārt noteikumu projektā, piemēram, 4. un 5. punktā, nav norādītas atsauces uz Tabulas A ailē norādītajām Eiropas Savienības regulu normām. Ievērojot, ka vienīgais regulu ieviešanas veids nacionālajos normatīvajos aktos ir atsauču veidošana uz tām, lūdzam attiecīgi papildināt noteikumu projektu ar atsaucēm uz attiecīgajām Eiropas Savienības regulu normām vai precizēt Tabulu.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"un plānoto" pirms vārda "finansējumu", ņemot vērā noteikumu projekta 7.punktā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un plānoto finansējumu un nacionālā līdzfinansējuma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atbalstāmās darbības un izmaksas paredz attiecināt izmaksas, kādas ir paredzētas arī  Eiropas Savienības Atveseļošanas un noturības mehānisma plāna 2. komponentes "Digitālā transformācija" 2.1. reformu un investīciju virziena "Valsts pārvaldes, tai skaitā pašvaldību, digitālā transformācija" attiecināmajās izmaksās (piemēram, </w:t>
            </w:r>
            <w:r w:rsidR="00000000" w:rsidRPr="00000000" w:rsidDel="00000000">
              <w:rPr>
                <w:i w:val="1"/>
                <w:rtl w:val="0"/>
              </w:rPr>
              <w:t xml:space="preserve">17.2.1. apakšpunktā - datu centru un skaitļošanas infrastruktūras tehniskās infrastruktūras  un tās darbināšanai nepieciešamās ražotāja sērijveida programmatūras iegādes izmaksas</w:t>
            </w:r>
            <w:r w:rsidR="00000000" w:rsidRPr="00000000" w:rsidDel="00000000">
              <w:rPr>
                <w:rtl w:val="0"/>
              </w:rPr>
              <w:t xml:space="preserve">) lūdzam paredzēt nosacījumus, kas nodrošina dubultā finansējuma risku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šādā redakcijā: "Finansējuma saņēmējs izstrādā iekšējās kontroles sistēmu, ietverot tajā informāciju par interešu konflikta, krāpšanas, korupcijas risku un dubultā finansējuma novēršanas mehānismu (tostarp attiecīgas dokumentācijas un tehniskās informācijas uzkrāšanu par iegādātās programmatūras un iekārtu atrašanās vietu un izmantošanu projekta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ne mazāk kā 4 350 000 euro, tai skaitā Eiropas Reģionālās attīstības fonda finansējums 3 697 500 euro (tai skaitā elastības finansējuma apjoms 583 189 euro) un privātais finansējums – ne mazāks par 652 500 euro. Maksimālais attiecināmais Eiropas Reģionālās attīstības fonda finansējuma apmērs nepārsniedz 85 procentus no projekta kopējā attiecināmā finansējuma, nepārsniedzot izmaksu un ieguvumu analīzē iegūto finansējuma deficīta procentuālo apmēru noteikto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kas ir privātais finansējums (finansējuma avots, tā izcelsme), kā arī noteikumu 9. punktā norādītie "privātie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ar jēdzienu “privātais finansējums” tiek saprasts projekta īstenotāja – komersanta VAS “Latvijas valsts radio un televīzijas centrs” (LVRTC) ieguldītais finansējums - savi līdzekļi atbilstoši Ministru kabineta  2023. gada 25. aprīļa noteikumu “Valsts budžeta līdzekļu plānošanas kārtība Eiropas Savienības fondu projektu īstenošanai un maksājumu veikšanai 2021.–2027. gada plānošanas periodā” 24.punktam.  LVRTC privātā līdzfinansējuma avots ir pašu ieņēmumi no pakalpojumiem, ko minētais komersants sniedz saviem klientiem.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vismaz 4 350 000 euro (tai skaitā elastības finansējuma apjoms 686 104 euro), tai skaitā Eiropas Reģionālās attīstības fonda finansējums 3 697 500 euro (tai skaitā elastības finansējuma apjoms 583 189 euro) un privātais līdzfinansējums – ne mazāk kā 652 500 euro (tai skaitā elastības finansējuma apjoms 102 915 euro). Maksimālā Eiropas Reģionālās attīstības fonda finansējuma intensitāte ir 85 procenti no projektam plānotā kopējā attiecināmā finansējuma, nepārsniedzot izmaksu un ieguvumu analīzē aprēķināto finansējuma deficīta procentuālo apmēru, un privātais līdzfinansējums nav mazāks par 15 procentiem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valsts akciju sabiedrība „Latvijas Valsts radio un televīzijas centrs” tai  deleģēto pārvaldes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14.punktam ir neloģiska struktūra. Pamatojoties uz minēto, lūdzam punktu redakcionāli precizēt vai svītrot vārdus "tai deleģēto pārvaldes uzdevumu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valsts akciju sabiedrība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14.punkta redakcija precizēta, vienlaikus ievērojot Aizsardzības ministrijas iebildumu (skat. izziņas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ir valsts akciju sabiedrība „Latvijas Valsts radio un televīzijas centrs” tai deleģētā valsts pārvaldes uzdevuma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izmantojot Kohēzijas politikas fondu vadības informācijas sistēmu. Projekta iesniegumam pievieno izmaksu un ieguvumu analīzi saskaņā ar tiesību aktiem par kārtību, kādā Eiropas Savienības fondu vadībā iesaistītās institūcijas nodrošina šo fondu ieviešanu 2021.–2027.gada plānošanas periodā. Ja sadarbības iestāde apstiprina projekta iesniegumu un noslēdz vienošanos par projekta īstenošanu, projekta iesniedzējs ir arī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1. panta 3. punktu persona, kuras projekta iesniegums ir apstiprināts,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minētajam likumam, lūdzam izteikt noteikumu projekta 15. punkta 3.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sadarbības iestāde apstiprina projekta iesniegumu, projekta iesniedzējs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izmantojot Kohēzijas politikas fondu vadības informācijas sistēmu. Projekta iesniegumam pievieno izmaksu un ieguvumu analīzi saskaņā ar tiesību aktiem par kārtību, kādā Eiropas Savienības fondu vadībā iesaistītās institūcijas nodrošina šo fondu ieviešanu 2021.–2027.gada plānošanas periodā.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kas pēc projekta apstiprināšanas ir arī finansējuma saņēmējs (turpmāk – finansējuma saņēmējs), sagatavo projekta  iesniegumu atbilstoši projektu iesniegumu atlases nolikumam un iesniedz sadarbības iestādē, izmantojot Kohēzijas politikas fondu vadības informācijas sistēmu. Projekta iesniegumam pievieno izmaksu un ieguvumu analīzi saskaņā ar tiesību aktiem par Eiropas Savienības fondu ieviešanu 2021.–2027.gada plānošanas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punkta redakcija ir neloģiski strukturēta, lūdzam punktu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15.punkta redakcija precizēta, ņemot vērā Finanšu ministrijas priekšlikumu (skat. izziņas 22.punktu)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izmantojot Kohēzijas politikas fondu vadības informācijas sistēmu. Projekta iesniegumam pievieno izmaksu un ieguvumu analīzi saskaņā ar tiesību aktiem par kārtību, kādā Eiropas Savienības fondu vadībā iesaistītās institūcijas nodrošina šo fondu ieviešanu 2021.–2027.gada plānošanas periodā.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kas pēc projekta apstiprināšanas ir arī finansējuma saņēmējs (turpmāk – finansējuma saņēmējs), sagatavo projekta  iesniegumu atbilstoši projektu iesniegumu atlases nolikumam un iesniedz sadarbības iestādē, izmantojot Kohēzijas politikas fondu vadības informācijas sistēmu. Projekta iesniegumam pievieno izmaksu un ieguvumu analīzi saskaņā ar tiesību aktiem par Eiropas Savienības fondu ieviešanu 2021.–2027.gada plānošanas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"par Eiropas Savienības fondu ieviešanu 2021.–2027.gada plānošanas periodā" ar vārdiem "par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izmantojot Kohēzijas politikas fondu vadības informācijas sistēmu. Projekta iesniegumam pievieno izmaksu un ieguvumu analīzi saskaņā ar tiesību aktiem par kārtību, kādā Eiropas Savienības fondu vadībā iesaistītās institūcijas nodrošina šo fondu ieviešanu 2021.–2027.gada plānošanas periodā.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MKN izdzēsto punktu par iespēju finansējuma saņēmējam saņemt avansa maksājumu projekta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par projekta īstenošanu noslēgšanas, sadarbības iestāde, pamatojoties uz finansējuma saņēmēja rakstisku avansa pieprasījumu, atbilstoši normatīvajiem aktiem, kas nosaka valsts budžeta līdzekļu plānošanas kārtību Eiropas Savienības fondu projektu īstenošanai un maksājumu veikšanu 2021.–2027. gada plānošanas periodā, var piešķirt finansējuma saņēmējam avansa maksājumus. Maksimālais avansa apjoms nevar pārsniegt 30 procentus no projektam piešķirtā Eiropas Reģionālās attīstības fonda finansējuma. Avansu var izmaksāt vairākos maksājumos. Finansējuma saņēmējs avansa pieprasījumu sagatavo, un sadarbības iestāde avansa pieprasījumu apstiprina, ņemot vērā nosacījumu, ka plānotā avansa apmērs, tā pamatojums atbilst spējai to izlietot sešu mēnešu laikā. Sadarbības iestāde, veicot avansa un starpposma maksājumus, ievēro nosacījumu, ka to kopsumma nedrīkst pārsniegt 90 procentus no projektam piešķirtā Eiropas Reģionālās attīstības fonda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potenciālais projekta īstenotājs informējis, ka avanss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iesniegumu pamatojošās dokumentācijas sagatavošanas izmaksas (izņemot izmaksas par projekta iesnieguma informācijas sagatavošanu un aizpildīšanu Kohēzijas politikas vadības un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17.1.apakšpunktā vārdu "un" pirms vārda "informācijas", ņemot vērā nostiprināto attiecīgās sistēmas nosaukumu Eiropas Savienības fondu 2021.—2027. gada plānošanas perioda vadības likumā un tam pakārtotajos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iesniegumu pamatojošās dokumentācijas sagatavošanas izmaksas (izņemot izmaksas par projekta iesnieguma informācijas sagatavošanu un aizpildīšanu Kohēzijas politikas vadības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tādu informācijas un publicitātes pasākumu izmaksas, kuri ir veikti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47. un 50. pantam un kārtībai, kādā Eiropas Savienības fondu vadībā iesaistītās institūcijas nodrošina šo fondu ieviešanu 2021.–2027.gada plānošanas periodā, ņemot vērā Eiropas Savienības fondu 2021.–2027. gada plānošanas perioda un Atveseļošanas fonda komunikācijas un dizaina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normatīvajos aktos un praksē lietoto jēdzienu "komunikācijas un vizuālās identitātes prasību nodrošināšanas nosacījumi", lūdzam precizēt noteikumu projekta 17.5. un 22.4. apakšpunktu,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17.5. apakšpunktā minētajos normatīvajos aktos un vadlīnijās nav minētas komunikācijas un vizuālās identitātes prasību nodrošināšanas </w:t>
            </w:r>
            <w:r w:rsidR="00000000" w:rsidRPr="00000000" w:rsidDel="00000000">
              <w:rPr>
                <w:u w:val="single"/>
                <w:rtl w:val="0"/>
              </w:rPr>
              <w:t xml:space="preserve">izmaksas</w:t>
            </w:r>
            <w:r w:rsidR="00000000" w:rsidRPr="00000000" w:rsidDel="00000000">
              <w:rPr>
                <w:rtl w:val="0"/>
              </w:rPr>
              <w:t xml:space="preserve">, bet šo prasību </w:t>
            </w:r>
            <w:r w:rsidR="00000000" w:rsidRPr="00000000" w:rsidDel="00000000">
              <w:rPr>
                <w:u w:val="single"/>
                <w:rtl w:val="0"/>
              </w:rPr>
              <w:t xml:space="preserve">saturs</w:t>
            </w:r>
            <w:r w:rsidR="00000000" w:rsidRPr="00000000" w:rsidDel="00000000">
              <w:rPr>
                <w:rtl w:val="0"/>
              </w:rPr>
              <w:t xml:space="preserve">, turklāt minēto prasību ievērošana atbilstoši attiecīgajiem normatīvajiem aktiem un vadlīnijām jau noteikta noteikumu projekta 22.4. apakšpunktā. Ievērojot minēto, lūdzam svītrot noteikumu projekta 17.5. apakšpunktā norādi uz normatīvajiem aktiem un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un 22.4. apakšpunkts precizēts, kā arī atbilstoši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komunikācijas un vizuālās identitātes prasību nodrošināšanas pasākumu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17.5.3. kiberdrošības programmatūras iegādes, pielāgojumu izstrādes (tostarp  lietojumprogrammas saskarnes API un citu),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"API" ir saīsinājums vārdkopai  "lietojumprogrammas saskarnes". Noteikumu projekta tekstā var lietot vārdkopu saīsinājumus, ja tas uzlabo likumprojekta teksta uztveramību un skaidrību. Saīsinājumu veido aiz saīsināmās vārdkopas, iekavās ierakstot vārdu “turpmāk – “ un attiecīgo saīsināto vārdu. Noteikumu projekta tekstā netiek citviet lietotas vārdkopas "lietojumprogrammas saskarnes". Attiecīgi nav nepieciešams lietot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nav saprotams, ko nozīmē iekavās norādītie vārdi "un citu". Pamatojoties uz minēto, lūdzam redakcionāli prezēt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programmatūras iegādes, pielāgojumu izstrādes (tostarp lietojumprogrammas saskarnes un citi pielāgojumi)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17.3.3. kiberdrošības programmatūras iegādes, pielāgojumu izstrādes (tostarp  lietojumprogrammas saskarnes un citi pielāgojumi), un uzstādīšanas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maksājumi, kas tiešā veidā saistīti ar projektu, uzskatāmi par attiecināmajām izmaksām saskaņā ar </w:t>
            </w:r>
            <w:r w:rsidR="00000000" w:rsidRPr="00000000" w:rsidDel="00000000">
              <w:rPr>
                <w:rtl w:val="0"/>
              </w:rPr>
              <w:t xml:space="preserve">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  64. panta 1. punkta ''c''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skaidrojumu izziņā. Taču, lai trešajai pusei būtu izsekojams, aicinām papildināt minētās regulas 64.panta 1.punkta "c" apakšpunktu ar vārdiem "otro daļu" (kā minēts izziņas 23.punktā) vai atstāt vārdus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maksājumi, kas tiešā veidā saistīti ar projektu, uzskatāmi par attiecināmajām izmaksām saskaņā ar </w:t>
            </w:r>
            <w:r w:rsidR="00000000" w:rsidRPr="00000000" w:rsidDel="00000000">
              <w:rPr>
                <w:rtl w:val="0"/>
              </w:rPr>
              <w:t xml:space="preserve">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64. panta 1. punkta ''c'' apakšpunktu, ja pievienotās vērtības nodoklis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izmaksu pievienotās vērtības nodokļa izmaksas ir attiecināmas,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18.punkta redakcija nebūtu precizējama, piemēram, dzēšot nosacījumu "ja tas nav atgūstams atbilstoši normatīvajiem aktiem nodokļu politikas jomā", tādejādi izmantojot vienkāršotu PVN attiecināšanas metodi projektos, kuru kopējās attiecināmās izmaksas ir mazākas par 5 milj. (ieskaitot PVN), vienlaikus pie nosacījuma, ja pasākumā netiks izmantots valsts atbalsts (t.sk. de minimis). Attiecīgi, ja tiks piemērots vienkāršots PVN attiecināšanas modelis, lūdzam anotācijā papildināt ar skaidrojumu, norādot, ka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18.punkta redakcija precizēta, ietverot atsauci uz Kopīgo noteikumu regulas 64.panta 1.punkta c) apakšpunkta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potenciālā projekta īstenotāja VAS “Latvijas Valsts radio un televīzijas centrs” sniegto informāciju plānotās projekta kopējās izmaksas ar PVN ir vismaz 5 miljoni eiro, līdz ar to Kopīgo noteikumu regulas 64.panta 1.punkta c) apakšpunkta 1) daļā minētā vienkāršotā PVN attiecināšanas metode nebūtu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maksājumi, kas tiešā veidā saistīti ar projektu, uzskatāmi par attiecināmajām izmaksām saskaņā ar </w:t>
            </w:r>
            <w:r w:rsidR="00000000" w:rsidRPr="00000000" w:rsidDel="00000000">
              <w:rPr>
                <w:rtl w:val="0"/>
              </w:rPr>
              <w:t xml:space="preserve">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64. panta 1. punkta ''c'' apakšpunktu, ja pievienotās vērtības nodoklis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izmaksu pievienotās vērtības nodokļa izmaksas ir attiecināmas,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 lai norma būtu vieglāk uztverama.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Finanšu ministrijas priekšlikumam (skat. izziņas 29.punktu).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maksājumi, kas tiešā veidā saistīti ar projektu, uzskatāmi par attiecināmajām izmaksām saskaņā ar </w:t>
            </w:r>
            <w:r w:rsidR="00000000" w:rsidRPr="00000000" w:rsidDel="00000000">
              <w:rPr>
                <w:rtl w:val="0"/>
              </w:rPr>
              <w:t xml:space="preserve">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64. panta 1. punkta ''c'' apakšpunktu, ja pievienotās vērtības nodoklis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atbilstoši Eiropas Savienības fondu 2021.—2027. gada plānošanas perioda vadības likuma 9.panta trešajai daļai uzraudzības procesā piesaistīt tiešās pārvaldes iestādes, kuru darbības joma saistīta ar plānošanas dokumentos minētajām nozarēm (piemēram, no Militāro informācijas tehnoloģiju drošības incidentu novēršanas institūcijas (MilCERT), Informācijas tehnoloģiju drošības incidentu novēršanas institūcijas (CERT.LV) Nacionālo bruņoto spēku Zemessardzes  Kiberaizsardzības vienības (KAV) u.c.). Šādas sadarbības mērķis ir projekta rezultātu kvalitātes novērtēšana atbilstoši nozares specifikai.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īstenošana plānota ciešā sadarbībā ar Aizsardzības ministriju, kas ir vadošā iestāde kiberdrošības jomā un CERT.LV, tomēr šobrīd nav plānots slēgt atsevišķu starpresoru vienošanos atbilstoši Eiropas Savienības fondu 2021.—2027. gada plānošanas perioda vadības likuma 9.panta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tiks vērtēta nepieciešamība slēgt starpresoru vienošanos vai saņemt projekta rezultātu kvalitātes vērtējumu no Aizsardzības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izvērtēt nepieciešamību papildināt noteikumu projektu ar pienākumu finansējuma saņēmējam uzkrāt datus Viedās specializācijas stratēģijas (RIS3) ietvaros, kā arī ievadot tos Kohēzijas politikas fondu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pieejamo informāciju par RIS3 rādītājiem un KPVIS ievadāmos datu laukus, secināms, ka projektā nav paredzētas P&amp;A darbības, līdz ar to nav atbilstošu datu, ko finansējuma saņēmējs varētu uzkrāt ar mērķi tos ievadīt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 sadaļā ir iekļauts skaidrojums, ka  pasākuma īstenošana netieši veicinās Viedās specializācijas stratēģijas "Informācijas un komunikācijas tehnoloģijas” jomas paredzētos mērķus, vienlaikus pasākumā nav paredzētas pētniecības un attīstības darbības, līdz ar to netiks uzkrāti dati par RIS3 rādītājiem (skat. izziņas 44.punktu)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nodrošina informācijas un publicitātes pasākumus saskaņā ar </w:t>
            </w:r>
            <w:r w:rsidR="00000000" w:rsidRPr="00000000" w:rsidDel="00000000">
              <w:rPr>
                <w:rtl w:val="0"/>
              </w:rPr>
              <w:t xml:space="preserve">Eiropas Parlamenta un Padomes 2021.gada 24.jūnija Regulas (ES) Nr. 2021/1060 47. un 50. pantu</w:t>
            </w:r>
            <w:r w:rsidR="00000000" w:rsidRPr="00000000" w:rsidDel="00000000">
              <w:rPr>
                <w:rtl w:val="0"/>
              </w:rPr>
              <w:t xml:space="preserve">, un kārtību, kādā Eiropas Savienības fondu vadībā iesaistītās institūcijas nodrošina šo fondu ieviešanu 2021.–2027.gada plānošanas periodā, ņemot vērā Finanšu ministrijas izstrādātās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21.4.apakšpunktu, norādot  Eiropas Parlamenta un Padomes 2021.gada 24.jūnija Regulas (ES) Nr. 2021/1060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komunikācijas un vizuālās identitātes pasākumus atbilstoši nosacījumiem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 47. un 50. pantu un kārtību, kādā Eiropas Savienības fondu vadībā iesaistītās institūcijas nodrošina šo fondu ieviešanu 2021.–2027.gada plānošanas periodā, ņemot vērā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nodrošina, ka projektā plānotie darbi netiek finansēti vai līdzfinansēti, kā arī tos nav plānots finansēt vai līdzfinansēt no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punkta ietvaros ir saprotams ar vārdkopu "projektā plānotie darbi". Lūdzam punktu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lai pasākuma ietvaros plānotais atbalsts nepārklātos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lai pasākuma ietvaros plānotais atbalsts nepārklātos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izstrādā iekšējās kontroles sistēmu, ietverot tajā informāciju par interešu konflikta, krāpšanas, korupcijas risku un dubultā finansējuma novēršanas mehānismu, kā arī nodrošina, ka finansējuma saņēmēja darbinieki, kuri saistīti ar projekta īstenošanu, paraksta interešu konflikta neesamības apliecinājumu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publisko iepirkumu veikšanu, lūdzam papildināt noteikumu projekta 22.7. apakšpunktu aiz skaitļa un vārda "61. panta" ar vārdiem "un publiskos iepirkumus regulējošo normatīvo aktu",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22.7. apakšpunkts precizēts. Attiecīgi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izstrādā iekšējās kontroles sistēmu, ietverot tajā informāciju par interešu konflikta, krāpšanas, korupcijas risku un dubultā finansējuma novēršanas mehānismu, kā arī nodrošina, ka finansējuma saņēmēja darbinieki, kuri saistīti ar projekta īstenošanu, paraksta interešu konflikta neesamības apliecinājumu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un publiskos iepirkumus regulējošo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iekļaut informāciju, ka atbalstāms ir ne tikai zaļais publiskais iepirkums, bet arī sociāli atbildīgais publiskais iepirkums un inovatīvais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kas nosaka, ka ir atbalstāms inovācijas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attiecināms, finansējuma saņēmējs nodrošina vides prasību integrāciju preču un pakalpojumu iepirkumos (zaļais publiskais iepirkums) un piemēro inovatīvā publiskā iepirkuma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tā specifikas dēļ nav paredzēts veikt sociāli atbildīgo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ietvaros iepirkumus veic saskaņā ar publiskos iepirkumus regulējošo normatīvo aktu prasībām, īstenojot atklātu, pārredzamu, nediskriminējošu un konkurenci neierobežojošu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rezultātā veiktie ieguldījumi ir finansējuma saņēmēja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plānots veikt IKT ieguldījumus, lūdzam sniegt skaidrojumu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projekta ietvaros plānotie ieguldījumi un finansējums ir vērsti, lai sasniegtu pasākuma mērķi un nodrošinātu valsts deleģētā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rezultātā veiktie ieguldījumi ir finansējuma saņēmēja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 "Pašreizējā situācija, problēmas un risinājumi" sadaļa "Risinājuma apraksts" nosaka, ka saskaņā ar VESPC instrukcijas 2.4.apakšpunktu Centra lietotājs ir publiska persona, publiskas personas kapitālsabiedrība, publiskas personas kontrolēta kapitālsabiedrība. Vēršam uzmanību, ka daļa no Centra lietotājiem jau šobrīd atbilst "Informācijas tehnoloģiju drošības likuma" (ITDL) un ir Nacionālās kiberdrošības likuma (NKDL) projekta iekļautajiem subjektiem, kas jau šobrīd izmanto CERT.LV nodrošinātos pakalpojumus, tai skaitā, agrās brīdināšanas sistēmu, kas pēc būtības ir identisks pakalpojums tam, ko LVRTC plāno izveidot VESPC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norāda, ka NKDL projekta 11. panta "Kiberincidentu novēršanas institūciju tiesības" 1. daļas 2. punkts nosaka, ka Kiberincidentu novēršanas institūcijas ir tiesīgas " iegūt no subjektiem, valsts un pašvaldību institūcijām un privāto tiesību juridiskajām personām tiešsaistes datu plūsmu pēc abpusējas vienošanās kiberapdraudējuma identificēšanai un novēršanai" un 27. pants"Agrās brīdināšanas sensori" paredz attiecīgu kritēriju noteikšanu MK noteikumos, kā arī 28. panta "Datu centru kiberdrošība" 3. daļa nosaka kiberincidentu novēršanas institūcijas tiesības vākt, glabāt un elektroniski apstrādāt kiberdraudu identificēšanai nepieciešamos datus. Ņemot vērā to, ka LVRTC plāno izveidot agrīno ļaundabīgā koda indentificēšanu Centra lietotāju IKT sistēmās un iegādāties iekārtas, ko izvieto VESPC klientu infrastruktūrā, uzskatām, ka ir detalizētāk jāskaidro abu risinājumu līdzāspastāvēšana un ietekme uz kiberincidentu novēršanas institūciju spēju nodrošināt valsts deleģēto uzdevumu izpildi (esošā  ITDL 5. panta 1. daļa/NKDL 5.panta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Dublēta risinājuma ietvaros CERT.LV potenciāli zaudētu iespēju nodrošināt ITDL subjektiem informācijas tehnoloģiju resursu augstāku drošības līmeni un savlaicīgi atklāt bīstamus un mērķētus informācijas tehnoloģiju uzbrukumus. Attiecīgi lūdzam nepieciešamības gadījumā precizēt noteikumu projekta 11. un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iekļaujot skaidrojumu, tostarp sniedzot informāciju par plānoto sadarbību telemetrijas datu reāllaika pieejamības nodrošināšanai CERT.LV vajadzībām, kā arī pasākumā plānotā VESPC kiberdrošības risinājuma un valsts mēroga kiberdrošības risinājuma koordinētu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precizēta terminoloģija noteikumu projekta 11.1.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"1.3. Pašreizējā situācija, problēmas un risinājumi" nodaļā "Problēmas apraksts"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Nepietiekams nodrošinājums ar dažādu kiberdrošības incidentu identificēšanas, pārvaldības un to novēršanas sistēmām (SOC/SIEM/ EDR/XDR un citām), kas tandēmā ar apmācītiem, un praksi ieguvušiem kiberdrošības speciālistiem un pārbaudītiem IT drošības procesiem ļautu stāties pretī jaunajiem kiberdrošības izaicinājumiem un uzbrucēju metodēm, ātrāk identificēt uzbrukuma ķēdes darbības sākumu un iegūt vairāk laika cīņai ar uzbrukumu un draudu riska novēršanai." ("(SOC/SIEM/ EDR/XDR un citām)" un "tandēmā").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konkrēto risinājumu uzskaitījumu iesākt ar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"tandēmā" mainīt uz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Nepietiekams nodrošinājums ar dažādu kiberdrošības incidentu identificēšanas, pārvaldības un to novēršanas sistēmām (piemēram SOC/SIEM/ EDR/XDR un citām), kas kopā ar apmācītiem, un praksi ieguvušiem kiberdrošības speciālistiem un pārbaudītiem IT drošības procesiem ļautu stāties pretī jaunajiem kiberdrošības izaicinājumiem un uzbrucēju metodēm, ātrāk identificēt uzbrukuma ķēdes darbības sākumu un iegūt vairāk laika cīņai ar uzbrukumu un draudu riska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izteikta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"1.3. Pašreizējā situācija, problēmas un risinājumi" nodaļā "Problēmas apraksts"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novērots lielāks ievainojamību skaits LVRTC klientu sistēmās, par ko klienti tiek nepārtraukti informēti, bet ievainojamību novēršana dažkārt notiek  pat vairāku mēnešu garumā, kas ļauj uzbrucējiem izmantot sistēmu nepilnības un veikt kiberuzbrukumus centra lietotāju IKT infrastruktūrai." ("nepārtraukti")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tiešām klientu informēšana notiek bez apstājas, bez pārtraukuma, visu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vai apzīmētājs "nepārtaukti" dzēšams vai aizvietojams ar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novērots lielāks ievainojamību skaits LVRTC klientu sistēmās, par ko klienti tiek nekavējoties informēti, bet ievainojamību novēršana dažkārt notiek  pat vairāku mēnešu garumā, kas ļauj uzbrucējiem izmantot sistēmu nepilnības un veikt kiberuzbrukumus centra lietotāju IKT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izteikta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"1.3. Pašreizējā situācija, problēmas un risinājumi" nodaļā "Problēmas apraksts"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LVRTC pārskati liecina par to, ka ir audzis kiberincidentu skaits, kas ir vērsts uz LVRTC pārraudzībā esošajām sistēmām, kā arī vairākkārt audzis izkliedēto pakalpojumatteices uzbrukumu (DDOS) uzbrukumu skaits." ("uzbrukumu (DDOS) uzbrukumu").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mainīt teikuma redakciju valodniecisku apsvērumu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LVRTC pārskati liecina par to, ka ir audzis kiberincidentu skaits, kas ir vērsts uz LVRTC pārraudzībā esošajām sistēmām, kā arī vairākkārt audzis izkliedēto pakalpojumatteices (DDOS) uzbrukumu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izteikta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"1.3. Pašreizējā situācija, problēmas un risinājumi" nodaļā "Problēmas apraksts"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gads Latvijas kibertelpā pamatoti uzskatāms par izaicinājumiem bagātāko un kiberuzbrukumiem intensīvāko periodu visā CERT.LV pastāvēšanas vēsturē kopš 2011.gada." ("izaicinājumiem bagātāko").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mainīt teikuma redakciju valodniecisku apsvērumu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2011. gada CERT.LV nav bijis tik daudz izaicinājumu un intensīvu kiberuzbrukumu kā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izteikta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"1.1. Pamatojums" minēts "Valsts elektronisko sakaru pakalpojumu centra (turpmāk –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saturā vietām tiek lietots termins "Centrs" ar lielo sākumburtu.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labot termina lietojumu uz "centrs" ar mazo sākuma burtu kā tas definēts.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Stratēģijas sadaļā “Kiberdrošības pārvaldība” minētās kiberdrošības iesaistītās iestādes kā centra lietotāji varēs izmantot kiberpoligona pakalpojumu savu IKT sistēmu politiku testēšanai pret uzbrukuma riskiem, ievainojamības identificēšanai un savlaicīgai izlabošanai, kā arī darbinieku pieredzes un kiberzināšanu veicināšanai darbā kiberincidenta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atbilstoši stratēģijas sadaļā “Kiberdrošības pārvaldība”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kiberdrošības iesaistītās iestādes" mainīt uz "minētie kiberdrošības pārvaldībā iesaistītie dalībnieki".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Stratēģijas sadaļā “Kiberdrošības pārvaldība” minētie kiberdrošības pārvaldībā iesaistītie dalībnieki kā centra lietotāji varēs izmantot kiberpoligona pakalpojumu savu IKT sistēmu politiku testēšanai pret uzbrukuma riskiem, ievainojamības identificēšanai un savlaicīgai izlabošanai, kā arī darbinieku pieredzes un kiberzināšanu veicināšanai darbā kiberincidenta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izteikta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Pašreizējā situācija, problēmas un risinājumi sadaļā Pašreizējā situācijā ir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kiberdrošības pārvaldes ietvarā LVRTC pašlaik pilda funkcijas kā uzticamu sertifikācijas pakalpojumu sniedzējs, kurš nodrošina elektroniskās identifikācijas līdzekļu, autentifikācijas rīku, kvalificēta elektroniskā paraksta un loģiski vienotā datu centra darbībai nepieciešamo infrastruktūru, vienlaikus nodrošinot arī valsts vienotā interneta apmaiņas punkta (GLV-IX) darbību un aizsardzību pret piekļuves lieguma 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Valsts vienotā interneta apmaiņas punkta (GLV-IX) darbību nodrošina Aizsardzības Ministrija. LVRTC savukārt nodrošina Valsts vienotā interneta apmaiņas punkta (GLV-IX) pakalpojumu Aizsardzības Ministrijai. Proti LVRTC ir pakalpojuma sniedzējs. Attiecīgi lūdzam to atspoguļot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kiberdrošības pārvaldes ietvarā LVRTC pašlaik pilda funkcijas kā uzticamu sertifikācijas pakalpojumu sniedzējs, kurš nodrošina elektroniskās identifikācijas līdzekļu, autentifikācijas rīku, kvalificēta elektroniskā paraksta un loģiski vienotā datu centra darbībai nepieciešamo infrastruktūru. Savukārt atbilstoši Aizsardzības ministrijas 2022. gada 2. novembra Informatīvajam ziņojumam "Par valsts vienoto interneta plūsmu apmaiņas punktu" Nr. 22-TA-1121 (DV) LVRTC šobrīd nodrošina Aizsardzības Ministrijai kā pakalpojumu arī valsts vienotā interneta apmaiņas punkta (GLV-IX)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teksts precizēts AM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 "Pašreizējā situācija, problēmas un risinājumi" sadaļa "Risinājuma apraksts" nosaka, ka "..., projekta ietvaros ieviešamā vienotā kiberdrošības risinājuma tehniskā specifikācija tiks saskaņota ar Aizsardzības ministriju un CERT.LV." Sadaļa "Citi nosacījumi", nosaka, ka "Projekta ietvaros ieviešamā vienotā kiberdrošības risinājuma tehniskā specifikācija tiks saskaņota ar Aizsardzības ministriju un CERT.LV."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kurā projekta izpildes posmā paredzēts veikt vienotā kiberdrošības risinājuma tehniskās specifikācijas saskaņošanu. Uzskatām, ka iespējami labākais rezultātu varētu sasniegt, ja saskaņošana tiktu nodrošināta regulāri, visa projekta realizācijas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pietiekamu laiku Aizsardzības ministrijas un CERT.LV pārstāvjiem risinājuma izvērtēšanai, nosakot saprātīgu termiņu saskaņojumam.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ka projekta ietvaros tiks izveidota starpinstitucionāla drošības operāciju centra darba grupa, kurā  tiks iekļauti LVRTC, Aizsardzības ministrijas un CERT.LV pārstāvji. Darba grupa regulāri sekos līdzi projekta gaitai, paveiktajiem darbiem un ieviestajām funkcionalitātēm, īpašu uzmanību pievēršot telemetrijas datu reāllaika pieejamības nodrošināšanai CERT.LV SOC, un pēc vajadzības darba gaitā notiks izvērtēšana, lai nodrošinātu kiberdrošības risinājuma centra ietvaros un valsts mēroga kiberdrošības risinājuma koordinētu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 "Pašreizējā situācija, problēmas un risinājumi" sadaļa "Risinājuma apraksts" nosaka, ka Anotācijā "CERT.LV paredz veidot valsts drošības operāciju centrus (SOC) valsts institūciju informācijas sistēmu izmitināšanas datu centros, kā arī likumprojektā “Nacionālās drošības likums” iekļauto deleģējumu Ministru kabinetam izdot kiberdrošības operāciju centru izveides un darbības noteikumus, projekta ietvaros ieviešamā vienotā kiberdrošības risinājuma tehniskā specifikācija tiks saskaņota ar Aizsardzības ministriju un CERT.LV." Lūdzam precizēt anotācijas tekstu, izmantojot terminu "Drošības operāciju centrs", jo šāds termins tiek izmantots likumprojektā "Nacionālās kiberdrošības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izmantotā terminoloģija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MKN tiek iekļauta norma par iespēju finansējuma saņēmējam saņemt avansa maksājumus, lūdzam atbilstoši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kārtību, kādā finansējuma saņēmējam būs iespēja pieteikties un saņemt avansa un starpposma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iekļaut piešķiramā avansa maksimālā apjoma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pirmreizējās saskaņošanas laikā, kad noteikumu projektā bija iekļauta norma par avansu, bijām izteikuši iebildumu, lai papildina anotāciju ar skaidrojumu un kārtību, kādā FS iespējams pieteikties un saņemt starpposma maksājumus, kā arī lūdzām pamatot maksimālā avansa apmēra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Rosinu atbilstoši papildināt šo komentāru, lūdzu skat.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potenciālais projekta īstenotājs informējis, ka avanss nav nepieciešams, līdz ar to nav iespējams pamatot atbilstošu avansa apmēru (skat. arī izziņas 12.punktu, 16. punktu, 25.punktu un 46.punktu).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pasākuma īstenošana veicinās Viedās specializācijas stratēģijas "Informācijas un komunikācijas tehnoloģijas” jomas paredzētos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iekļauta informācija, ka  pasākuma īstenošana netieši veicinās Viedās specializācijas stratēģijas "Informācijas un komunikācijas tehnoloģijas” jomas paredzētos mērķus, vienlaikus pasākumā nav paredzētas pētniecības un attīstības darbības, līdz ar to netiks uzkrāti dati par RIS3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visas jaunas darba vietas, kuras tiks izveidotas 1.4.1.4. pasākuma ietvaros, tiks finansētas no ES fondiem tikai projekta īstenošanas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ka visas jaunās darba vietas, kuras tiks izveidotas 1.4.1.4. pasākuma ietvaros, tiks finansētas no ES fondiem tikai projekta īstenošanas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informāciju par to, ka finansējuma saņēmējam ir iespējas saņemt arī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potenciālais projekta īstenotājs informējis, ka avanss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anotācijā, kur attiecināms, aizstāt terminu -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precizēts uz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lūdzam papildināt anotāciju ar attiecīgo informāciju vai sniegt skaidrojumu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projekts ir vērsts uz valsts elektronisko pakalpojumu centra lietotāju, kas ir valsts un pašvaldības iestādes, kiberdrošības uzlabošanu LVRTC deleģētā valsts pārvaldes uzdevuma nodrošināt centra darbību ietvaros. Ņemot vērā to, ka lietotāju loks ir ierobežots atbilstoši Ministru kabineta 2022. gada 8. novembra instrukcijas Nr. 5 “Valsts elektronisko sakaru pakalpojumu centra nodrošināšanas kārtība” 16. un 17.punktam, nesaskatām nepieciešamību projekta izstrādē iesaistīt nevalstisko organizāciju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"Risinājuma apraksts" trešo rindkopu, ka publicitātes pasākumi tiek nodrošināti saskaņā arī ar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kārtību, kādā Eiropas Savienības fondu vadībā iesaistītās institūcijas nodrošina šo fondu ieviešanu 2021.–2027.gada plānošanas periodā, ņemot vērā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1.3.sadaļas apakšsadaļas "Risinājuma apraksts" otrajā rindkopā vārdus "Finanšu ministrijas" ar vārdiem "vadošās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informācija precizēta, kā Eiropas Savienības fondu 2021.–2027. gada plānošanas perioda un Atveseļošanas fonda komunikācijas un dizaina vadlīniju izstrādātāju norādot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valsts akciju sabiedrība „Latvijas Valsts radio un televīzijas centrs” tiek noteikts kā potenciālais finansējuma saņēmējs, kuram ar noteikumiem tiks uzlikti papildus pienākumi, lūdzam papildināt anotācijas 2.sadaļu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kā valsts deleģētā uzdevuma veicējam  netiek noteikti jauni papildu pienākumi, jo, īstenojot projektu, tas darbosies esošā pārvaldes uzdevuma ietvaros saskaņā ar deleģēšanas līgumu par valsts elektronisko sakaru pakalpojumu centra izveidošanu, uzturēšanu un darbības nodrošināšanu, kas noslēgts starp Satiksmes ministriju un LVRTC. Vienlaikus, īstenojot projektu, LVRTC kā finansējuma saņēmējam ir jāņem vērā noteikumu projektā noteiktais pieejamais ERAF finansējums un projektā sasniedzamās rādītāju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precizēt 2024. gadam norādīto finansējuma kopsummas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6.punktā precizēta 2024.gadam norādītā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pasākuma ietekmes uz horizontālo principu "Vienlīdzība, iekļaušana, nediskriminācija un pamattiesību ievērošana" aprakstu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horizontālā principa “Vienlīdzība, iekļaušana, nediskriminācija un pamattiesību ievērošana” īstenošanai un uzraudzībai (2021-2027), pasākumam nav ietekmes uz horizontālo principu "Vienlīdzība, iekļaušana, nediskriminācija un pamattiesību ievērošana". Vienlaikus, lai  nodrošinātu, ka projekta īstenošanā tiek veicināta vienlīdzība, iekļaušana, nediskriminācija un  ievērotas  pamattiesības, projekta iesnieguma vērtēšanā tiks piemērots horizontālā principa specifiskais atbilstības kritērijs. Kritērijā tiks vērtēts, vai projekta iesniegumā ir paredzēta vismaz viena specifiskā darbība, kas attiecas uz publicitāti, personālu vai publiskajiem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anotācijas 8.2. punktā, izņemot vārdus “viena specifiskā darbība”, kas aizstāti ar vārdiem “viena vispārīga darbība” atbilstoši ES fondu Uzraudzības komitejā apstiprinātajiem specifiskajiem projekta vērtēšanas kritērijiem, kas paredz vismaz vienas vispārīgas darbības, kas attiecas uz publicitāti, personālu vai publiskajiem iepirkumiem,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lūdzam papildināt anotācijas 8.2. sadaļu par pasākuma ietekmi uz horizontālo principu “Vienlīdzība, iekļaušana, nediskriminācija un pamattiesību ievērošana” , “Klimatdrošināšana” ,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 saskaņā ar Labklājības ministrijas priekšlikumu (skat. izziņas 35.punktu), kā arī informācija par pasākuma ietekmi uz horizontālajiem principiem pārcelta no anotācijas 1.3. sadaļas uz 8.2.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23-TA-1064</w:t>
    </w:r>
    <w:r>
      <w:br/>
    </w:r>
    <w:r w:rsidR="00000000" w:rsidRPr="00000000" w:rsidDel="00000000">
      <w:rPr>
        <w:rtl w:val="0"/>
      </w:rPr>
      <w:t xml:space="preserve">23.04.2024. 12.51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23-TA-1064</w:t>
    </w:r>
    <w:r>
      <w:br/>
    </w:r>
    <w:r w:rsidR="00000000" w:rsidRPr="00000000" w:rsidDel="00000000">
      <w:rPr>
        <w:rtl w:val="0"/>
      </w:rPr>
      <w:t xml:space="preserve">23.04.2024. 12.51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Izziņa_23-TA-1064.docx</dc:title>
</cp:coreProperties>
</file>

<file path=docProps/custom.xml><?xml version="1.0" encoding="utf-8"?>
<Properties xmlns="http://schemas.openxmlformats.org/officeDocument/2006/custom-properties" xmlns:vt="http://schemas.openxmlformats.org/officeDocument/2006/docPropsVTypes"/>
</file>