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22-TA-1433: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atbilstības novērtēšanu"" (Nr.1603/Lp13) [1] iesniegts un izskatīts pirmajā lasījumā 13.Saeimā un šobrīd uz 14.Saeimas darba kārtību nav pārcelts. Ievērojot minēto, lūdzam svītrot atsauci uz šī likumprojekta normu. Arī pašreizējā likuma redakcijā šādas normas nav. Kontekstā ar šo lūdzam precizēt arī pārējo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https://titania.saeima.lv/LIVS13/SaeimaLIVS13.nsf/webAll?SearchView&amp;Query=([NumberTxt]=1603)&amp;SearchMax=0&amp;SearchOrder=4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atbilstības novērtēšanu”” (Nr.44/Lp14) [1] ir pieņemts 14.Saeimas 19.01.2023.  sēdē otrajā lasījumā. 07.02.2023. likumprojekts ir atbalstīts Saeimas Tautsaimniecības, agrārās, vides un reģionālās politikas komisijas sēdē virzībai uz trešo lasījumu.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https://titania.saeima.lv/LIVS14/saeimalivs14.nsf/webAll?SearchView&amp;Query=([Title]=*par+atbilst%C4%ABbas+nov%C4%93rt%C4%93%C5%A1anu*)&amp;SearchMax=0&amp;SearchOrder=4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labota atsauce uz likumprojekta “Grozījumi likumā “Par atbilstības novērtēšanu”” (Nr.44/Lp14) normu anotācijas 1.3.apakšpunktā, svītrojot iepriekšējo atsauci un aizstājot to ar jaunu, kas atbilst aktuālajai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15</w:t>
            </w:r>
            <w:r w:rsidR="00000000" w:rsidRPr="00000000" w:rsidDel="00000000">
              <w:rPr>
                <w:rtl w:val="0"/>
              </w:rPr>
              <w:t xml:space="preserve"> panta desmito daļu un likuma “Par atbilstības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atbilstības novērtēšanu'" (Nr.1603/Lp13) [1] iesniegts un izskatīts pirmajā lasījumā 13.Saeimā un šobrīd uz 14.Saeimas darba kārtību nav pārcelti. Ievērojot minēto, lūdzam svītrot vārdus un skaitļus "un likuma “Par atbilstības novērtēšanu” 9.</w:t>
            </w:r>
            <w:r w:rsidR="00000000" w:rsidRPr="00000000" w:rsidDel="00000000">
              <w:rPr>
                <w:vertAlign w:val="superscript"/>
                <w:rtl w:val="0"/>
              </w:rPr>
              <w:t xml:space="preserve">7</w:t>
            </w:r>
            <w:r w:rsidR="00000000" w:rsidRPr="00000000" w:rsidDel="00000000">
              <w:rPr>
                <w:rtl w:val="0"/>
              </w:rPr>
              <w:t xml:space="preserve"> panta piekto daļu". Pašreizējā likuma redakcijā šādas normas nav. Kontekstā ar šo lūdzam precizēt arī pārējo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https://titania.saeima.lv/LIVS13/SaeimaLIVS13.nsf/webAll?SearchView&amp;Query=([NumberTxt]=1603)&amp;SearchMax=0&amp;SearchOrder=4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atbilstības novērtēšanu”” (Nr.44/Lp14) [1] ir pieņemts 14.Saeimas 19.01.2023.  sēdē otrajā lasījumā. 07.02.2023. likumprojekts ir atbalstīts Saeimas Tautsaimniecības, agrārās, vides un reģionālās politikas komisijas sēdē virzībai uz trešo lasījumu.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https://titania.saeima.lv/LIVS14/saeimalivs14.nsf/webAll?SearchView&amp;Query=([Title]=*par+atbilst%C4%ABbas+nov%C4%93rt%C4%93%C5%A1anu*)&amp;SearchMax=0&amp;SearchOrder=4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deleģējums, uz kura pamata ir izstrādāts Noteikumu projekts, ir saglabāts 9.7 piektajā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15</w:t>
            </w:r>
            <w:r w:rsidR="00000000" w:rsidRPr="00000000" w:rsidDel="00000000">
              <w:rPr>
                <w:rtl w:val="0"/>
              </w:rPr>
              <w:t xml:space="preserve"> panta desmito daļu un likuma “Par atbilstības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panta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Patērētāju tiesību aizsardzības centrs un Veselības inspekcija (turpmāk – iestāde) sagatavo un nosūta elektronisko sakaru komersantam, augstākā līmeņa domēna reģistram vai domēna vārda reģistratūrai, vai informācijas sabiedrības pakalpojuma sniedzējam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kā arī lēmumā ietveramā pieprasījuma veidlapas paraugu, lēmuma nosūtīšanas veidu, tā izpildes un darbības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26.</w:t>
            </w:r>
            <w:r w:rsidR="00000000" w:rsidRPr="00000000" w:rsidDel="00000000">
              <w:rPr>
                <w:vertAlign w:val="superscript"/>
                <w:rtl w:val="0"/>
              </w:rPr>
              <w:t xml:space="preserve">15</w:t>
            </w:r>
            <w:r w:rsidR="00000000" w:rsidRPr="00000000" w:rsidDel="00000000">
              <w:rPr>
                <w:rtl w:val="0"/>
              </w:rPr>
              <w:t xml:space="preserve"> panta desmitā daļa pilnvaro Ministru kabinetu noteikt kārtību, kādā Patērētāju tiesību aizsardzības centrs (PTAC) un Veselības inspekcija sagatavo un nosūta elektronisko sakaru komersantam, augstākā līmeņa domēna reģistram vai domēna vārda reģistratūrai, vai informācijas sabiedrības pakalpojumu sniedzējam šā panta piektajā daļā minēto lēmumu, kā arī lēmumā ietveramā </w:t>
            </w:r>
            <w:r w:rsidR="00000000" w:rsidRPr="00000000" w:rsidDel="00000000">
              <w:rPr>
                <w:b w:val="1"/>
                <w:u w:val="single"/>
                <w:rtl w:val="0"/>
              </w:rPr>
              <w:t xml:space="preserve">pieprasījuma formu</w:t>
            </w:r>
            <w:r w:rsidR="00000000" w:rsidRPr="00000000" w:rsidDel="00000000">
              <w:rPr>
                <w:rtl w:val="0"/>
              </w:rPr>
              <w:t xml:space="preserve">, lēmuma nosūtīšanas veidu, lēmuma izpildes un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Vēsturiskajā anotācijā [1] par šo normu skaidrots, ka </w:t>
            </w:r>
            <w:r w:rsidR="00000000" w:rsidRPr="00000000" w:rsidDel="00000000">
              <w:rPr>
                <w:i w:val="1"/>
                <w:rtl w:val="0"/>
              </w:rPr>
              <w:t xml:space="preserve">minētā kārtība noteiks, ka PTAC un Veselības inspekcija nosūta lēmumu par tiešsaistes saskarnes ierobežošanu tā adresātam, pievienojot lēmumā ietveramo </w:t>
            </w:r>
            <w:r w:rsidR="00000000" w:rsidRPr="00000000" w:rsidDel="00000000">
              <w:rPr>
                <w:i w:val="1"/>
                <w:u w:val="single"/>
                <w:rtl w:val="0"/>
              </w:rPr>
              <w:t xml:space="preserve">pieprasījuma formu, kurā norādīts domēna vārds, interneta protokola adrese vai tiešsaistes saskarnes apraksts, kas jāierobežo. </w:t>
            </w:r>
            <w:r w:rsidR="00000000" w:rsidRPr="00000000" w:rsidDel="00000000">
              <w:rPr>
                <w:i w:val="1"/>
                <w:rtl w:val="0"/>
              </w:rPr>
              <w:t xml:space="preserve">Papildus tam, kārtība paredzēs, ar kādiem saziņas līdzekļiem PTAC un Veselības inspekcija informēs lēmuma adresātus par lēmumu vai tā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noteikumu (un arī  projekta) 1.punktā nekorekti paredzēts, ka noteikumi nosaka lēmumā ietveramā pieprasījuma </w:t>
            </w:r>
            <w:r w:rsidR="00000000" w:rsidRPr="00000000" w:rsidDel="00000000">
              <w:rPr>
                <w:u w:val="single"/>
                <w:rtl w:val="0"/>
              </w:rPr>
              <w:t xml:space="preserve">veidlapas paraugu</w:t>
            </w:r>
            <w:r w:rsidR="00000000" w:rsidRPr="00000000" w:rsidDel="00000000">
              <w:rPr>
                <w:rtl w:val="0"/>
              </w:rPr>
              <w:t xml:space="preserve">, un tā vietā jāparedz, ka noteikumi nosaka lēmumā ietveramā pieprasījuma </w:t>
            </w:r>
            <w:r w:rsidR="00000000" w:rsidRPr="00000000" w:rsidDel="00000000">
              <w:rPr>
                <w:u w:val="single"/>
                <w:rtl w:val="0"/>
              </w:rPr>
              <w:t xml:space="preserve">formu.</w:t>
            </w:r>
            <w:r w:rsidR="00000000" w:rsidRPr="00000000" w:rsidDel="00000000">
              <w:rPr>
                <w:rtl w:val="0"/>
              </w:rPr>
              <w:t xml:space="preserve"> Lūdzam nodrošināt noteikumu 1.punkta atbilstību likuma pilnvarojumā noteiktajam un aizstāt vārdus "veidlapas paraugu" ar vārdu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atteikties no veidlapas parauga apstiprināšanas noteikumu pielikumā un svītrot to (t.sk. atsauces uz pielikumu), </w:t>
            </w:r>
            <w:r w:rsidR="00000000" w:rsidRPr="00000000" w:rsidDel="00000000">
              <w:rPr>
                <w:u w:val="single"/>
                <w:rtl w:val="0"/>
              </w:rPr>
              <w:t xml:space="preserve">vienlaikus noteikumos paredzot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pieprasījumā ietveramo informācijas saturu, piem., atbilstoši šobrīd veidlapā norādītajai informācijai, ka pieprasījumā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pieprasījuma izdošanas vietu un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administratīvā akta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atsauci uz tiesību normu, uz kuras pamata lēmuma adresātam tiek uzdots īstenot tiesību ierobežojumu (</w:t>
            </w:r>
            <w:r w:rsidR="00000000" w:rsidRPr="00000000" w:rsidDel="00000000">
              <w:rPr>
                <w:i w:val="1"/>
                <w:rtl w:val="0"/>
              </w:rPr>
              <w:t xml:space="preserve">digitālā formātā ieteicams likt arī saiti uz likumi.lv attiecīgo redakciju, lai pieprasījuma saņēmējs var ērti ar normu iepazīties)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ierobežojuma veidu (atbilstoši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w:t>
            </w:r>
            <w:r w:rsidR="00000000" w:rsidRPr="00000000" w:rsidDel="00000000">
              <w:rPr>
                <w:u w:val="single"/>
                <w:rtl w:val="0"/>
              </w:rPr>
              <w:t xml:space="preserve">elektronisko sakaru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ierobežot piekļuvi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pārvirzīt lietotāju, kad tas piekļūst tiešsaistes saskarnei, uz tādu tīmekļvietni vai citu tiešsaistes līdzekli, kurš tiek izmantots patērētāju brīdināšanai;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r w:rsidR="00000000" w:rsidRPr="00000000" w:rsidDel="00000000">
              <w:rPr>
                <w:u w:val="single"/>
                <w:rtl w:val="0"/>
              </w:rPr>
              <w:t xml:space="preserve">augstākā līmeņa domēna reģistram vai domēna vārda reģistratūrai: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aizliegt domēna vārda lietošanas tiesību nodošanu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nodot domēna vārda lietošanas tiesības iestādei, kas pieņem šo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w:t>
            </w:r>
            <w:r w:rsidR="00000000" w:rsidRPr="00000000" w:rsidDel="00000000">
              <w:rPr>
                <w:u w:val="single"/>
                <w:rtl w:val="0"/>
              </w:rPr>
              <w:t xml:space="preserve">informācijas sabiedrības pakalpojuma sniedzējam (tai skaitā mitināšanas pakalpojumu sniedzējam)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izņemt, bloķēt vai ierobežot piekļuvi tiešsaistes saskarnei tiešsaistes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izņemt saturu no tiešsaistes saskarnes;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noteikumu 6. punktā un 5.1. apakšpunktā, 11. punktā un 10.1.apakšpunktā un 17.punktā un 16.1.apakšpunktā norādīšanai paredzēto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pieprasījumu var sagatavot, ja lēmums par tiesību ierobežošanu paredzēts par vairākiem subjektiem vai objektiem un tas nosūtāms vienam lēmuma adresātam, aicinām apsvērt, vai vieglākai lēmumā ietvertā pienākuma izpildes izpratnei nav norādāms tiesību ierobežojuma ilgums, ja no lēmuma izriet, ka tie ir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pieprasījuma formu - piem., ka pieprasījumu sagatavo kā no lēmuma atsevišķu elektroniskas formas noteikta formāta datni (piem., vienkāršā teksta formātā, atvērtā dokumenta formātā (ODF) biroja lietotnēm, atvērtā biroja XML (Office Open XML) datņu formātā, portatīvā dokumenta (PDF) formātā vai portatīvā dokumenta formātā ilglaicīgai glabāšanai (PDF/A) [2] utml.) (tas parasti ir svarīgi, ja jāizpilda daudz pieprasījumu piecu darbdienu laikā, ka procedūra ir automatizēta un par ko norāda biedrība “Latvijas Informācijas un komunikācijas tehnoloģijas asociācija” (LIKTA) savā 04.07.2022. atzinumā Nr. 2022/07-03 publiskās apspriedes ietvaros, ka informācijas apstrāde mašīnlasāmā formā sakaru komersantam ir vitāli svarīga, lai lēmumus izpildītu operatīvi un taupītu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nepieciešams, atbildīgajām institūcijām pienākumu izstrādāt pieprasījuma veidlapas paraugu un publicēt institūcijas tīmekļvietnē ar nepieciešamajiem skaidrojumiem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ieteikta arī Valsts kancelejas Valsts iestāžu juridisko dienestu vadītāju 14.11.2019. sanāksmē (sk. protokolu Nr. 3 2.§ un pievienoto prezentāciju)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Pieprasījuma veidlapā nav precīzi norādīta noteikumu 6. punktā un 5.1. apakšpunktā, 11. punktā un 10.1.apakšpunktā un 17.punktā un 16.1.apakšpunktā norādīšanai paredzētā informācija. Pieprasījumam par tiesību ierobežošanu ir jābūt saprotamam un precīzam, lai var nepārprotami izsecināt adresātam uzlikto tiesisko pienākumu. Lūdzam precizēt pieprasījuma veidlapas saturu atbilstoši noteikumu 6. punktā un 5.1. apakšpunktā, 11. punktā un 10.1.apakšpunktā un 17.punktā un 16.1.apakšpunktā noteiktajam. Šajā aspektā uzsveram priekšrocību, kas rodas neapstiprinot pieprasījuma veidlapu ar Ministru kabineta noteikumiem, proti, atbildīgai institūcijai būs iespēja operatīvi papildināt veidlapu paraugus ar fakultatīvi norādāmu informāciju, kas atvieglos darbiniekiem aizpildīt veidlapu vai adresātiem precīzāk izpildīt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vēršam uzmanību, ka pieprasījuma veidlapa jāpielāgo lēmuma adresāta vajadzībām, veidojot pielāgota satura veidlapu katram adresāta </w:t>
            </w:r>
            <w:r w:rsidR="00000000" w:rsidRPr="00000000" w:rsidDel="00000000">
              <w:rPr>
                <w:u w:val="single"/>
                <w:rtl w:val="0"/>
              </w:rPr>
              <w:t xml:space="preserve">veidam</w:t>
            </w:r>
            <w:r w:rsidR="00000000" w:rsidRPr="00000000" w:rsidDel="00000000">
              <w:rPr>
                <w:rtl w:val="0"/>
              </w:rPr>
              <w:t xml:space="preserve"> atbilstoši lēmuma veidam. Elektronisko sakaru komersantam nav jāsaņem pieprasījuma veidlapa, kura vienlaikus, piemēram, ir pielāgota augstākā līmeņa domēna reģistram pavisam par citu lēmuma veidu un aizpildāmie tabulas lauki vienmēr būs tukši. Lūdzam nodrošināt pielāgota satura pieprasījuma veidlapas lēmuma adresātam vismaz pēc adresāta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saprastu, vai regulējums sasniedz noteikto mērķi, lūdzam anotācijā skaidrot, ar kādu mērķi lēmumā ietvertajam pieprasījumam jānosaka forma un vērtēt, vai mērķis ar noteikumu regulējumu tiek sasniegts.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https://titania.saeima.lv/LIVS13/SaeimaLIVS13.nsf/0/8402717C1494731EC225858C002D81EA?OpenDocument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 gada 28. jūnija noteikumou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10.punkts par elektronisko dokumentu izstrādāšanu un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2020. gada 14. jūlija noteikumu Nr. 445 "Kārtība, kādā iestādes ievieto informāciju internetā" 8.punkts noteic, ja iestāde oficiālajā tīmekļvietnē vai mobilajā lietotnē publicē veidlapas, tās tiek veidotas vismaz datņu formātā, kas nodrošina iespēju veidlapu lejupielādēt no tīmekļvietnes, aizpildīt un saglabāt bez ierobežojumiem. Iestāde nodrošina skaidrojumu par veidlapu aizpildīšanu.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https://tai.mk.gov.lv/protokoli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“veidlapas paraugu” aizstāti ar vārdu “lēmumā ietveramā pieprasījuma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1.6.punkts papildināts ar skaidrojumu par pieprasījuma formas būtību un pieprasījuma formas regulēšanas nepieciešamību normatīvajā aktā. Noteikumu projektā tika precizēts pielikums, sadalot to trijās tabulās atbilstoši adresātam, lai nodrošinātu skaidrību. Vienlaikus ir saglabāts viens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Patērētāju tiesību aizsardzības centrs un Veselības inspekcija (turpmāk – iestāde) sagatavo un nosūta elektronisko sakaru komersantam, augstākā līmeņa domēna reģistram vai domēna vārda reģistratūrai, vai informācijas sabiedrības pakalpojuma sniedzējam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kā arī lēmumā ietveramā pieprasījuma formu, lēmuma nosūtīšanas veidu, lēmuma izpildes un darbības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saīsināt noteikumu projekta nosaukumu atbilstoši Ministru kabineta 2009. gada 3. februāra noteikumu Nr. 108 "Normatīvo aktu projektu sagatavošanas noteikumi" 90. un 91.punkta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izvērtēja iespējas saīsināt Noteikumu projekta nosaukumu un piekrīt, ka nosaukums ir samērā garš. Taču  norādām, ka atbilstoši Ministru kabineta 2009. gada 3. februāra noteikumu Nr. 108 "Normatīvo aktu projektu sagatavošanas noteikumi"  91.punkta prasībai noteikumu projekta nosaukumu veido tā, lai tas atklātu noteikumu saturu. Ņemot vērā minēto, Ekonomikas ministrija secināja, ka, saīsinot esošo Noteikumu projekta nosaukumu, tiks izņemti būtiski elementi, kas nepieciešami, lai atspoguļotu Noteikumu projekta būtību, un bez kuriem tas būs pārāk vispārīgs.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projektu saskaņot ar Latvijas Universitātes Matemātikas un informātikas institūta Tīkla risinājumu daļu (NIC).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Nosūtot noteikumu projektu atkārtotai saskaņošanai, tas tiks nosūtīts arī Latvijas Universitātes Matemātikas un informātikas institūta Tīkla risinājumu daļai (NIC).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informāciju atsaucē norādot likumprojekta aktuālā izskatīšanas posma identifikācijas numuru, proti, likumprojekta "Grozījumi "Par atbilstības novērtēšanu"" 9.</w:t>
            </w:r>
            <w:r w:rsidR="00000000" w:rsidRPr="00000000" w:rsidDel="00000000">
              <w:rPr>
                <w:vertAlign w:val="superscript"/>
                <w:rtl w:val="0"/>
              </w:rPr>
              <w:t xml:space="preserve">7</w:t>
            </w:r>
            <w:r w:rsidR="00000000" w:rsidRPr="00000000" w:rsidDel="00000000">
              <w:rPr>
                <w:rtl w:val="0"/>
              </w:rPr>
              <w:t xml:space="preserve"> panta piektā daļa (Saeimas reģ. Nr.44/Lp14, TAPP 22-TA-3588). Līdz 2021.gada 9.septembrim pēc izsludināšanas Valsts sekretāru sanāksmē un saskaņošanas, virzot likumprojektu izskatīšanai Ministru kabineta sēdē likumprojektam tika piešķirti arī citi identifikācijas numuri: TAP portāla piešķirtais unikālais tiesību akta lietas identifikācijas un pēc tam jau Saeimā likumprojektu reģistra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aktualizēta, ņemot vērā, ka likums "Grozījumi "Par atbilstības novērtēšanu" ir izsludināts 2023.gada 28.februārī.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ka noteikuma projekta izpildē iesaistītās institūcijas - Patērētāju tiesību aizsardzības centrs un Veselības inspekcija noteikumu projektā paredzēto pasākumu īstenošanu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punkts “Cita informācija” papildināts, norādot, ka Noteikuma projekta izpildē iesaistītās institūcijas Noteikumu projektā paredzēto pasākumu īstenošanu nodrošinās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ņemot vērā līdzdalības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ar standartpunktiem [1] (katru punktu savā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Paraugi 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Patērētāju tiesību aizsardzības centrs un Veselības inspekcija (turpmāk – iestāde) sagatavo un nosūta elektronisko sakaru komersantam, augstākā līmeņa domēna reģistram vai domēna vārda reģistratūrai, vai informācijas sabiedrības pakalpojuma sniedzējam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kā arī lēmumā ietveramā pieprasījuma veidlapas paraugu, lēmuma nosūtīšanas veidu, tā izpildes un darbības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Precizitātei aicinām aizstāt vārdu "tā" ar vārdu "lēmuma". Arī likuma pilnvarojumā tiek lietots vārds "lēmuma".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“tā” aizstāts ar vārdu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“veidlapas paraugu” aizstāti ar vārdu “lēmumā ietveramā pieprasījuma 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Patērētāju tiesību aizsardzības centrs un Veselības inspekcija (turpmāk – iestāde) sagatavo un nosūta elektronisko sakaru komersantam, augstākā līmeņa domēna reģistram vai domēna vārda reģistratūrai, vai informācijas sabiedrības pakalpojuma sniedzējam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kā arī lēmumā ietveramā pieprasījuma formu, lēmuma nosūtīšanas veidu, lēmuma izpildes un darbības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 kas pieņēmusi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pēc lēmuma paziņošanas adresātam ir tiesīga lēmumā vai tā pielikumā norādīto informāciju ievietot iestādes uzturētajā mašīnlasāmajā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vārdi "lēmumā vai tā pielikumā norādīto informāciju" ļauj ievietot iestādes tīmekļvietnē jebkuru informāciju, kas minēta lēmumā vai lēmuma pielikumā, tostarp, personas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2.punkta redakciju, nosakot, ka iestāde ir tiesīga ievietot iestādes tīmekļvietnē  informāciju, nodrošinot, ka netiek publicēti personas dati. Piemēram, Izložu un azartspēļu uzraudzības inspekcijas tīmekļvietnē ir ievietots teksta fails tikai ar bloķētajiem domēniem.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e-pastiski ir sniegts skaidrojums, ka iestādes jau šobrīd ievēro regulējumu par personas datu aizsardzību. Mašīnlasāmajā sarakstā ievieto tikai bloķēšanas objekta (piem., tīmekļvietnes) tehniskos piekļuves parametrus. Ekonomikas ministrijas skatījumā programmatūrai pēc būtības nav nepieciešama nekāda cita papildus informācija, it sevišķi, tāda rakstura kā personu dati, lai izpildītu nepieciešamo bloķēšanu.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mašīnlasāmais saraksts šobrīd ir izveidots elektronisko sakaru komersantu vajadzībām. Teksta failā, ko PTAC un VI ir izvietojušas savās tīmekļvietnēs ir norādīti tikai informācija, kas ir nepieciešama komersantu programmatūrai – proti, tur norāda tikai domēnu vārdus.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2.punktā ir plašāks, jo nākotnē nepieciešamības gadījumā pēc atsevišķas vienošanās (piemēram, ar NIC, noteiktām sociālo tīklu platformām utt.) var tikt izveidoti papildus citi mašīnlasāmie saraksti, kur, piemēram, varētu tikt ievietoti citi parametri kā URL (sociālo tīklu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 kas pieņēmusi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vai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minēto lēmumu, pēc lēmuma paziņošanas adresātam ir tiesīga lēmumā vai tā pielikumā norādīto informāciju ievietot iestādes uzturētajā mašīnlasāmajā sarakstā.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pieprasījums būs pielikums lēmumam (neatņemama lēmuma sastāvdaļa), aicinām ietvert pieprasījuma formā pielikuma norādi lapas augšējā labajā stūrī (aiz pielikuma nosaukuma).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izdevēja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lēmumam Nr. 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ietvert noteikumu pielikumā - pielikuma nosaukumu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Pieprasījuma tekstu aicinām veidot, cik iespējams skaidru un plūstoši lasāmu, jo no sanāksmē skaidrotā varēja saprast, ka pieprasījumu (bez lēmuma) izmantos praktiskās darbības veicošie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piemēram, šādu redakciju, kas saturētu arī noteikumos noteikto pieprasījumā ietveramo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piekto daļu/  likuma "Par atbilstības novērtēšanu" 9.</w:t>
            </w:r>
            <w:r w:rsidR="00000000" w:rsidRPr="00000000" w:rsidDel="00000000">
              <w:rPr>
                <w:vertAlign w:val="superscript"/>
                <w:rtl w:val="0"/>
              </w:rPr>
              <w:t xml:space="preserve">7 </w:t>
            </w:r>
            <w:r w:rsidR="00000000" w:rsidRPr="00000000" w:rsidDel="00000000">
              <w:rPr>
                <w:rtl w:val="0"/>
              </w:rPr>
              <w:t xml:space="preserve">panta trešo daļu uzdodam: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sakaru komersantam ierobežot piekļuvi elektronisko sakaru tīklā šādām tiešsaistes saskarnēm: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 līmeņa domēna reģistram vai domēna vārda reģistratūrai ierobežot lietošanas tiesības šādiem domēna vārdiem: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sabiedrības pakalpojuma sniedzējam ierobežot piekļuvi šādām tiešsaistes saskarnēm vai satura vienībām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Pieprasījumā neietver informāciju, sadaļas, tabulas, kas neattiecas uz lēmuma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22-TA-1433</w:t>
    </w:r>
    <w:r>
      <w:br/>
    </w:r>
    <w:r w:rsidR="00000000" w:rsidRPr="00000000" w:rsidDel="00000000">
      <w:rPr>
        <w:rtl w:val="0"/>
      </w:rPr>
      <w:t xml:space="preserve">09.03.2023. 10.29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22-TA-1433</w:t>
    </w:r>
    <w:r>
      <w:br/>
    </w:r>
    <w:r w:rsidR="00000000" w:rsidRPr="00000000" w:rsidDel="00000000">
      <w:rPr>
        <w:rtl w:val="0"/>
      </w:rPr>
      <w:t xml:space="preserve">09.03.2023. 10.29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Izziņa_22-TA-1433.docx</dc:title>
</cp:coreProperties>
</file>

<file path=docProps/custom.xml><?xml version="1.0" encoding="utf-8"?>
<Properties xmlns="http://schemas.openxmlformats.org/officeDocument/2006/custom-properties" xmlns:vt="http://schemas.openxmlformats.org/officeDocument/2006/docPropsVTypes"/>
</file>