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Valsts sekretāra vietnieces tiesību politikas jautājumos saskaņojuma projekts ir ievērojami precizēts, tostarp, ir svītrota tiesību norma, kas noteica termiņu, kādā persona nevar kandidēt uz atbalstu, ja tai ir piemērots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neparedzēs noteiktu termiņu, kura laikā personai ir ierobežotas tiesības saņemt atbalstu, tas nozīmēs, ka persona saistībā ar tai piemēroto sodu (neatkarīgi no sodāmības dzēšanas vai noņemšanas) vairs nekad nevarēs saņemt šāda tipa atbalstu. </w:t>
            </w:r>
            <w:r w:rsidR="00000000" w:rsidRPr="00000000" w:rsidDel="00000000">
              <w:rPr>
                <w:b w:val="1"/>
                <w:rtl w:val="0"/>
              </w:rPr>
              <w:t xml:space="preserve">Attiecīgi minētais ierobežojums būs absolūts jeb noteikts uz mūžu un spēkā neierobežotu laiku arī pēc sodāmības dzēšanas vai noņemšanas.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Cilvēktiesību tiesa un Satversmes tiesa jau vairākos nolēmumos ir kritiski izteikusies pret absolūtiem ierobežojumiem, sevišķi, kas saisīti ar personai piemērotu sodu. Personas uzvedība laika gaitā var mainīties, attiecīgi nav saskatāms pamats absolūta ierobežojuma noteikšanai projekta gadījumā. Turklāt projekta anotācijā </w:t>
            </w:r>
            <w:r w:rsidR="00000000" w:rsidRPr="00000000" w:rsidDel="00000000">
              <w:rPr>
                <w:b w:val="1"/>
                <w:rtl w:val="0"/>
              </w:rPr>
              <w:t xml:space="preserve">nav atrodama analīze par to, ka šāds absolūts ierobežojums var skar personas tiesības uz īpašumu un nav izvērtēta absolūtā aizlieguma būtība un piemērošanas sekas </w:t>
            </w:r>
            <w:r w:rsidR="00000000" w:rsidRPr="00000000" w:rsidDel="00000000">
              <w:rPr>
                <w:rtl w:val="0"/>
              </w:rPr>
              <w:t xml:space="preserve">(sk., piem., Satversmes tiesas 2021. gada 4. novembra spriedumu lietā Nr. 2021‑05‑01).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aicinām projektā noteikt konkrētu termiņu, kādā persona nevar kandidēt uz atbalstu un to  saskaņot ar sodāmības laiku.</w:t>
            </w:r>
            <w:r w:rsidR="00000000" w:rsidRPr="00000000" w:rsidDel="00000000">
              <w:rPr>
                <w:rtl w:val="0"/>
              </w:rPr>
              <w:t xml:space="preserve"> Atgādinām, ka Tieslietu ministrija jau bija piedāvājusi attiecīgās tiesību normu redakcijas un aicina tās izvērtēt un iekļaut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normu par ierobežojumu attiecināmības termiņu. Vienlaikus skaidrojam, ka tiesību normas ņemtas identiski Tieslietu ministrijas saskaņotam un Ministru kabinetā apstiprinātam noteikumu projektam. (23-TA-3117Grozījumi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b)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paplašināt saņēmēju loku bezemisiju transportlīdzekļu pasākumiem, vienlaikus nodrošinot demarkāciju starp EM esošo atbalsta programmu un Klimata un enerģētikas ministrijas (KEM) sagatavoto atbalsta programmu ("Modernizācijas fonda finansēto projektu atklāta konkursa "Energoefektivitātes paaugstināšana transporta sektorā – atbalsts elektromobiļu un to uzlādes infrastruktūras ieviešanai" nolikums"; 23-TA-1486, projekts). Demarkācija tiek nodrošināta laikā, jo KEM atbalsta programma ir izstrādes stadijā un līdz atbalsta programmas darbības uzsākšanai demarkācijas risku nav. EM atbalsta programma elektroauto iegādes atbalstam darbosies līdz brīdim, kad pilnībā tiks rezervēts pieejamais finansējums, kas indikatīvi notiks pirms KEM atbalsta programmas uzsākšanas. Ja līdz KEM atbalsta programmas apstiprināšanai finansējums EM atbalsta programmā nebūs pilnībā rezervēts, tad demarkācija tiks nodrošināta projektu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precizēta saskaņā ar KEM komentāru.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noteikumu projekta anotācijā iekļaut komersantam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saskaņošanas ietvaros jau ticis norādīts, ka noteikumu projekta anotācija papildināma ar ierobežojumu attaisnojamības izvērtējumu. Šobrīd anotācijā iekļautais skaidrojums atklāj grozījumu saturu, taču tas nepamatoto ierobežojumu attaisnojamību. Turklāt tie nav tikai redakcionāli precizējumi, bet būtiskas ierobežojuma izmaiņas. Ir liela atšķirība, vai komersantam piešķiramais atbalsts ir atkarīgs no komersanta paša vai tā nodarbināto pārkāpumiem. Tāpat no projektā ietvertā regulējuma teksta viennozīmīgi neizriet, ka komersanta valdes vai padomes loceklim, prokūristam u. tml. jābūt sodītam par pārkāpumu, kas saistīts ar attiecīgo komersantu (resp., ja šī persona ir iepriekš sodīta par pārkāpumu un tagad ir komersanta valdes loceklis, vai tas liegtu komersantam iegūt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samērīguma kontekstā citastarp jāievēro, ka juridiskās personas pārkāpumi ir cieši saistīti ar tās pārstāvju vai nodarbināto rīcību (sk., piemēram, Administratīvās atbildības likuma 7. pantu). Juridiskās personas pārkāpumu raksturs (personas saikne ar pārkāpumu) nav identisks fiziskas personas izdarītam pārkāpumam. Piemēram, publisko iepirkumu jomā, neskatoties uz pārkāpumu esību, juridiskai personai pastāv iespēja atjaunot uzticamību, ja tā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 (Publisko iepirkumu likuma 43.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atbilstoši 2021.gada 6.jūlija Eiropas Savienības Padomes īstenošanas lēmumam Nr. 10157/21 “Par Latvijas atveseļošanas un noturības plāna novērtējuma apstiprināšanu” starp Latvijas Republiku un Eiropas Komisiju kā donoru ir panākta vienošanās, ka Atveseļošanas un noturības mehānisma horizontāliem izslēgšanas kritērijiem piemēro tādu paši praksi kā attiecībā uz Eiropas Savienības investīcijām, tas ir, Eiropas Savienības fondu 2021.—2027. gada plānošanas perioda vadības likuma 22.panta pirmās daļas 1.- 4. punktā noteiktos izslēgšanas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norādi  par grozījumu ietekmi uz atlasēm un gala saņēmējiem, t.i., vai grozījumi attiecas tikai uz jaunām atlasēm, vai arī uz jau izsludinātām atlasēm. Ņemot vērā, ka grozījumi skar arī attiecināmās izmaksas, lūdzam norādīt, kā attiecīgie grozījumi ietekmēs noslēgtos līgumus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sadaļu, detalizētāk aprakstot visus plānotos grozījumus noteikumu projektā, piemēram, noteikumu papildināšana ar 27.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atbilstoši precizējumi un papildinājumi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prasības, kas liedz personai iegūt atbalstu, ir personas tiesību ierobežojums, lūdzu anotācijā iekļaut šādu prasību (ierobežojuma) attaisnojamību, proti, vai ierobežojums ir noteikts ar likumu, vai tam ir leģitīms mērķis un tas ir samērīgs.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 ar MK noteikumu grozījumiem tiek precizēti arī MK noteikumu Nr. 594 27.6.2. un 27.6.3. apakšpunkti. Proti, sākotnējā noteikumu versija paredzēja, ka konkrētajā apakšpunktā norādītie izslēgšanas kritēriji ir attiecināmi tikai uz komersantu, taču atbilstoši praksei secināms, ka konkrēto nodarījumu sods tiek piešķirts arī ar komersantu saistītām personām, nevis pašam komersantam, tas ir, personai, kura ir komersanta valdes vai padomes loceklis vai prokūrists, vai persona, kura ir pilnvarota pārstāvēt komersantu ar filiāli saistītās darbībās. Piemēram, par nodarbināšanas pārkāpumiem tiek sodīts konkrētā uzņēmuma valdes loceklis, nevis pats komersants kā juridiska persona (Imigrācijas likuma 68.</w:t>
            </w:r>
            <w:r w:rsidR="00000000" w:rsidRPr="00000000" w:rsidDel="00000000">
              <w:rPr>
                <w:vertAlign w:val="superscript"/>
                <w:rtl w:val="0"/>
              </w:rPr>
              <w:t xml:space="preserve">4</w:t>
            </w:r>
            <w:r w:rsidR="00000000" w:rsidRPr="00000000" w:rsidDel="00000000">
              <w:rPr>
                <w:rtl w:val="0"/>
              </w:rPr>
              <w:t xml:space="preserve"> pants).  Attiecīgi, lai konkrētā tiesību norma būtu viennozīmīgi uztverama gan projekta iesniedzējiem, gan personām, kas pārbauda projekta iesniegumus, veikti precizējumi. Līdz ar to ar noteikumu grozījumiem faktiski netiek noteikta jauna izslēgšanas prasība, bet gan esošā prasība salāgota ar pastāvošo praksi attiecībā uz to subjektu, kuram faktiski tiek uzlikts sods par pārkāpumu. Papildus norādām, ka ietvertā izslēgšanas kritēriju pieeja ir horizontāla visos ES fondu un atjaunošanas un noturības mehānisma ietvaros, Attiecīgi, veicot 27.6.2. apakšpunkta precizējumus, noteikumu projekts nodrošinās vienādas pieejas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w:t>
            </w:r>
            <w:r w:rsidR="00000000" w:rsidRPr="00000000" w:rsidDel="00000000">
              <w:rPr>
                <w:b w:val="1"/>
                <w:rtl w:val="0"/>
              </w:rPr>
              <w:t xml:space="preserve">uztur 2023. gada 28. novembra atzinuma 1., 2., 3. un 4. punktā norādītos iebildumus</w:t>
            </w:r>
            <w:r w:rsidR="00000000" w:rsidRPr="00000000" w:rsidDel="00000000">
              <w:rPr>
                <w:rtl w:val="0"/>
              </w:rPr>
              <w:t xml:space="preserve">. Projekta izziņā un anotācijā iekļauts skaidrojums, ka "atbilstoši 2021. gada 6. jūlija Eiropas Savienības Padomes īstenošanas lēmumam Nr. 10157/21 "Par Latvijas atveseļošanas un noturības plāna novērtējuma apstiprināšanu" starp Latvijas Republiku un Eiropas Komisiju kā donoru ir panākta vienošanās, ka Atveseļošanas un noturības mehānisma horizontāliem izslēgšanas kritērijiem piemēro tādu pašu praksi kā attiecībā uz Eiropas Savienības investīcijām, tas ir, Eiropas Savienības fondu 2021.-2027. gada plānošanas perioda vadības likuma 22. panta pirmās daļas 1.- 4. punktā noteiktos izslēgšanas noteikumus". Taču tas nekādi nenovērš iebildumos norādītos trūkumus. Turklāt konkrētajā gadījumā ir izvēlēta no Eiropas Savienības fondu 2021.-2027. gada plānošanas perioda vadības likuma sistēmas atšķirīga pieeja atbalsta piešķiršanas kritēriju regulējumā (likumdevēja un Ministru kabineta kompetences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iekļautas arī Tieslietu ministrijas 2023. gada 15. decembra e-pastā nosūtītās iespējamās tiesību normu redakcijas, kas varētu novērst vismaz daļu no iebildumiem. Tāpat, neskatoties uz 2023. gada 12. decembra sanāksmē runāto, protokollēmuma projektā nav iekļauts pienākums izstrādāt atbilstošus likuma grozījumus, lai novērstu konstatētās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nav iespējams atbalstīt attiecīgo projektā ietverto regulējumu un uzturami iepriekš izteiktie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pieejamā finansējuma izlietošanas sabiedrība "Altum", izmantojot atbalsta programmas ietvaros atmaksāto finansējumu (klientu maksājumus no aizdevumiem un komisijas maksas par garantijām), kā arī garantiju kompensāciju izmaksām neizmantoto 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 finansējumu,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Nr.594 20.punktu ar finansējuma atmaksu, kā arī garantiju kompensāciju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Finanšu ministrijas 2024.gada 3.janvāra atzinumu. Vēršam uzmanību, ka esam izvērtējuši priekšlikumu un skaidrojam, ka nav iespējams noteikt precīzus atmaksu apmērus, kā arī nepieteikto garantiju kompensāciju apmēru. Atmaksu apmērs un nepieteikto garantiju kompensāciju apmērs dinamiski mainās programmas ieviešanas laikā, līdz ar to nav iespējams precīzi noteikt šos apmērus, kamēr programmas īstenošana nav noslēgusies.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pieejamā finansējuma izlietošanas sabiedrība "Altum", izmantojot atbalsta programmas ietvaros atmaksāto finansējumu (klientu maksājumus no aizdevumiem un komisijas maksas par garantijām), kā arī garantiju kompensāciju izmaksām neizmantoto 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 finansējumu, var: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Atbalsta programmas ietvaros atbalstu var saņemt jebkuras darbības nozares (izņemot šo noteikumu </w:t>
            </w:r>
            <w:r w:rsidR="00000000" w:rsidRPr="00000000" w:rsidDel="00000000">
              <w:rPr>
                <w:rtl w:val="0"/>
              </w:rPr>
              <w:t xml:space="preserve">28. </w:t>
            </w:r>
            <w:r w:rsidR="00000000" w:rsidRPr="00000000" w:rsidDel="00000000">
              <w:rPr>
                <w:rtl w:val="0"/>
              </w:rPr>
              <w:t xml:space="preserve">punktā minētās nozares) sīkais (mikro), mazais vai vidējais komersants, kas atbilst Komisijas regulas Nr.  651/2014 1. pielikuma nosacījumiem, vai lielais komersants, kas atbilst Komisijas regulas Nr.  651/2014 2. panta 24.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3.punktu (ar kuru paredzēts izteikt MK 20.09.2022. noteikumu Nr.594  26.punktu jaunā redakcijā), minēto finansējumu piešķirot citām šīs atbalsta programmas ietvaros plānotajām aktivitātēm, vai pilnveidot grozījumu minētajā punktā, nodrošinot demarkāciju starp citām atbalsta programmām, kuru ietvaros plānots piešķirt finansējumu komersantiem elektromobiļu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Argumentācija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gada 13.jūlijā tika pieņemti Ministru kabineta noteikumi Nr. 396 “Modernizācijas fonda darbības kārtības noteikumi un daudzgadu 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Nr.396 12. punkts nosaka trīs prioritāros atbalsta virzienus Modernizācijas fonda finansējuma izmantošanā Latvijā laika posmā no 2023. līdz 2027. gadam. Pirmais no tiem ir: “bezemisiju transportlīdzekļu iegādes veicināšana un atbilstošas infrastruktūras izveide vai modernizēšana pašvaldībām (tajā skaitā pašvaldību kapitālsabiedrībām), valsts tiešās pārvaldes iestādēm, kā arī komersantiem, kuri savā saimnieciskajā darbībā izmanto to īpašumā esošus vismaz piecus transportlīdzekļus vai kuri nodrošina sabiedriskā transporta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šī gada februārī Eiropas Investīciju bankai (EIB) iesniedza investīciju priekšlikumu “Energoefektivitātes paaugstināšana transporta sektorā – atbalsts elektromobiļu un to uzlādes infrastruktūras ieviešanai”, lai saņemtu Latvijai pieejamo Modernizācijas fonda finansējumu konkrēta konkursa finansēšanai 5 milj.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priekšlikums tika saskaņots ar iesaistītajām ministrijām, tajā skaitā Ekonomikas ministriju, un biedrību “Auto Asociācija”, tajā skaitā nodrošinot demarkāciju ar Ekonomikas minsitrijas izstrādāto atbalsta programmu (MK noteikumiem Nr. 594).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EIB un Eiropas Komisijas izvērtējuma un pozitīva lēmuma, Latvijai šī konkursa īstenošanai tika piešķirti un jūnijā ieskaitīti (Valsts kasē atvērtajā pamatbudžeta ieņēmumu kontā) 5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 ir sagatavojusi un šonedēļ plāno nodod publiskai apspriešanai TAP Ministru kabineta noteikumu projektu “Modernizācijas fonda finansēto projektu atklāta konkursa "Energoefektivitātes paaugstināšana transporta sektorā – atbalsts elektromobiļu un to uzlādes infrastruktūras ieviešanai" nolikums”, ar kuru ir plānots sniegt atbalstu komersantiem elektromobiļu iegādei 4.milj. eiro apmērā, tajā skaitā nodrošinot demarkāciju ar Ekonomikas ministrijas šobrīd spēka esošo izstrādāto atbalsta programmu (MK noteikumiem Nr.594).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03.01.2024. KEM iesniegto atzinumu, par šo punktu netiek uzturēts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12.12.2023 sanāksmē izrunāto, secināms, ka demarkācija starp EM esošo programmu un KEM topošo programmu tiek nodrošināta laikā, jo KEM programma vēl tiek izstrādāta un līdz ar to līdz KEM programmas darbības uzsākšanai demarkācijas risku nav. Pie kam EM programma elektroauto atbalstam darbosies tikai līdz brīdim, kad pilnībā tiks rezervēts pieejamais finansējums, kas indikatīvi notiks pirms KEM programmas uzsākšanas vai arī būs iespējams nodrošināt demarkāciju projektu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Atbalsta programmas ietvaros atbalstu var saņemt jebkuras darbības nozares (izņemot šo noteikumu </w:t>
            </w:r>
            <w:r w:rsidR="00000000" w:rsidRPr="00000000" w:rsidDel="00000000">
              <w:rPr>
                <w:rtl w:val="0"/>
              </w:rPr>
              <w:t xml:space="preserve">28. </w:t>
            </w:r>
            <w:r w:rsidR="00000000" w:rsidRPr="00000000" w:rsidDel="00000000">
              <w:rPr>
                <w:rtl w:val="0"/>
              </w:rPr>
              <w:t xml:space="preserve">punktā minētās nozares) sīkais (mikro), mazais vai vidējais komersants, kas atbilst Komisijas regulas Nr.  651/2014 1. pielikuma nosacījumiem, vai lielais komersants, kas atbilst Komisijas regulas Nr.  651/2014 2. panta 24.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uz komersantu nav attiecināms jebkurš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ministrijas izziņā paustos apsvērumus, taču atkārtoti norāda, ka esošā noteikumu redakcija paredz krietni stigrākus kritērijus atbalsta piešķiršanai, nekā Regula 2018/1046, kura ir par pamatu šai atbalsta programmai. Tādēļ Latvijas Republikā reģistrētajiem komersantiem atbalstu energoefektivitātes paaugstināšanai ir daudz grūtāk saņemt nekā citās Eiropas Savienības dalībvalstīs reģistrētajiem komersantiem. Minētais ietekmē arī Latvijas Republikā reģistrēto komersantu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pretēji Regulai neparedz pienākumu Altum kā finansējuma piešķīrējam vērtēt kritēriju samērīgumu atbalsta atteikuma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27.6. punktā paplašinātie un no Regulas neizrietošie kritēriji ieviesti vienīgi ar 2023. gada 19. maijā spēkā stājušiem grozījumiem jau pēc tam, kad virkne komersantu bija iesniegusi pieteikumus dalībai atlases programmā un tā sakarā arī saņēmusi pozitīvus Altum lēmumus. Pēc šī lēmuma komersanti ir jau īstenojuši ieguldījumus un veikuši virkni citus finansiāli ietilpīgus pasākumus, taču pēc grozījumu spēkā stāšanās, iesniedzot pieteikumus konkrētā atbalsta saņemšanai, tie saņem atbalsta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vērš Ekonomikas ministrijas uzmanību uz Tieslietu ministrijas izteiktajiem iebildumiem pret paredzētajiem kritērijiem, kuru gadījumā atbalstu komersantiem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lūdz noteikumu 27.6.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uz to nav attiecināmi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atbilstoši 2021.gada 6.jūlija Eiropas Savienības Padomes īstenošanas lēmumam Nr. 10157/21 “Par Latvijas atveseļošanas un noturības plāna novērtējuma apstiprināšanu” starp Latvijas Republiku un Eiropas Komisiju kā donoru ir panāktai vienošanās, ka ANM horizontāliem izslēgšanas kritērijiem piemēro tādu paši praksi kā attiecībā uz Eiropas Savienības investīcijām, tas ir, Eiropas Savienības fondu 2021.—2027. gada plānošanas perioda vadības likuma 22.panta pirmās daļas 1.- 4. punktā noteiktos izslēgšanas noteikumus. Attiecīgi, lai nodrošinātu ANM investīciju atbilstību Eiropas Komisijas uzstādījumiem, kā arī vienlaikus mazinātu finanšu korekcijas risku, Ekonomikas ministrija, virzot Grozījumus Ministru kabineta noteikumos ir ievērojusi iepriekš minētos Eiropas Komisijas uzstādījumus un attiecīgos Grozījumus virzījusi saskaņā ar Eiropas Savienības fondu 2021.—2027. gada plānošanas perioda vadības likuma 22.panta pirmās daļas 1.- 4. punktā noteikto. Norādām, ka jebkādai praksei, kas neatbilst starp Latvijas Republikas un Eiropas Komisiju panāktai vienošanās var būt negatīvs finanšu risks, tai skaitā, risks, kas gulstas uz atbalsta saņēmēju. Vienlaikus norādām, ka izslēgšanas kritēriji ar atbilstoši praksei, kas jau apstiprināta Ministru kabinetā un ko ir saskaņojušas attiecīgās iesaistītās institūcijas (kā piemēru skatīt 22-TA-3597). Vienlaikus skaidrojam, ka  identiska kārtība ir arī PIL un LAD regulējumā, kas arī paredz trīs gadu izslēgšanas periodu attiecībā uz trešo valstu pilsoņu nelegālu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sistēma paredz nesniegt atbalstu projekta iesniedzējam, ja tam ir piemērots sods par vienas vai vairāku personu nodarbināšanu, ja tām nav nepieciešamās darba atļaujas vai ja tās nav tiesīgas uzturēties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neparedz stingrāku sodu kā ES regulējums, jo gan Finanšu regulas normas, gan arī EIROPAS PARLAMENTA UN PADOMES DIREKTĪVA 2009/52/EK (2009. gada 18. jūnijs), ar ko nosaka minimālos standartus sankcijām un pasākumiem pret darba devējiem, kas nodarbina trešo valstu valstspiederīgos, kuri dalībvalstīs uzturas nelikumīgi paredz pienākumu dalībvalstij izveidot tādu sistēmu, kas paredz no atbalsta saņemšanas izslēgt šādu pretendentu līdz 5 gadu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uz komersantu nav attiecināms jebkurš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atkārtoti izvērtējusi Ekonomikas ministrijas izstrādāto noteikumu projektu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(23-TA-2246) un konstatējusi, ka paredzēto atbalsta mehānismu ir iespējams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esošā noteikumu redakcija paredz krietni stigrākus kritērijus atbalsta piešķiršanai, nekā Regula 2018/1046, kura ir par pamatu šai atbalsta programmai. Tādēļ Latvijas Republikā reģistrētajiem komersantiem atbalstu energoefektivitātes paaugstināšanai ir daudz grūtāk saņemt nekā citās Eiropas Savienības dalībvalstīs reģistrētajiem komersantiem. Minētais ietekmē arī Latvijas Republikā reģistrēto komersantu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pretēji Regulai neparedz pienākumu Altum kā finansējuma piešķīrējam vērtēt kritēriju samērīgumu atbalsta atteikuma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27.6. punktā paplašinātie un no Regulas neizrietošie kritēriji ieviesti vienīgi ar 2023. gada 19. maijā spēkā stājušiem grozījumiem jau pēc tam, kad virkne komersantu bija iesniegusi pieteikumus dalībai atlases programmā un tā sakarā arī saņēmusi pozitīvus Altum lēmumus. Pēc šī lēmuma komersanti ir jau īstenojuši ieguldījumus un veikuši virkni citus finansiāli ietilpīgus pasākumus, taču pēc grozījumu spēkā stāšanās, iesniedzot pieteikumus konkrētā atbalsta saņemšanai, tie saņem atbalsta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vērš Ekonomikas ministrijas uzmanību uz Tieslietu ministrijas izteiktajiem iebildumiem pret paredzētajiem kritērijiem, kuru gadījumā atbalstu komersantiem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lūdz noteikumu 27.6.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uz to nav attiecināmi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Ekonomikas ministrijas skaidrojumu izziņas 8.punktā, ņemot vērā faktu, ka iebildums ir identisks 8.punktā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27.6.1.7. tādu preču un vielu pārvietošana pāri Latvijas Republikas valsts robežai, kuru aprite ir aizliegta vai speciāli reglamentēta;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7.punktu paredzēts papildināt Ministru kabineta 2022.gada 20.septembra noteikumus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Noteikumi Nr.594) ar 27.6.1.7.apakšpunktu, nosakot, ka komersants vai persona, kura ir komersanta valdes vai padomes loceklis vai prokūrists, vai persona, kura ir pilnvarota pārstāvēt komersantu ar filiāli saistītajās darbībās, ar tādu prokurora priekšrakstu par sodu vai tiesas spriedumu, kas stājies spēkā un kļuvis neapstrīdams un nepārsūdzams, nedrīkst būt atzīta par vainīgu tādu preču un vielu pārvietošanā pāri Latvijas Republikas valsts robežai, kuru aprite ir aizliegta vai speciāli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13.punktu paredzēts papildināt Noteikumus Nr.594 ar 27.</w:t>
            </w:r>
            <w:r w:rsidR="00000000" w:rsidRPr="00000000" w:rsidDel="00000000">
              <w:rPr>
                <w:vertAlign w:val="superscript"/>
                <w:rtl w:val="0"/>
              </w:rPr>
              <w:t xml:space="preserve">2</w:t>
            </w:r>
            <w:r w:rsidR="00000000" w:rsidRPr="00000000" w:rsidDel="00000000">
              <w:rPr>
                <w:rtl w:val="0"/>
              </w:rPr>
              <w:t xml:space="preserve"> punktu, paredzot, ka sabiedrība “Altum” par Noteikumu Nr.594 27.6.1., 27.6.2. un 27.6.3.apakšpunktā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sabiedrība “Altum” pārbaudītu, vai komersants vai persona, kura ir komersanta valdes vai padomes loceklis vai prokūrists, vai persona, kura ir pilnvarota pārstāvēt komersantu ar filiāli saistītajās darbībās,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sabiedrībai “Altum” ziņas par administratīvajiem pārkāpumiem vai noziedzīgiem nodarījumiem,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papildus norādot attiecīgo nozari regulējošo likumu un Krimināllikuma pantus, par kuros paredzētajiem administratīvajiem pārkāpumiem un noziedzīgajiem nodarījumiem komersants vai persona, kura ir komersanta valdes vai padomes loceklis vai prokūrists, vai persona, kura ir pilnvarota pārstāvēt komersantu ar filiāli saistītajās darbībās, nedrīkst būt sodīts.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par pieprasāmo informāciju no "Sodu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27.6.1.8. neatļauta piedalīšanās mantiskos darījumos.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8.punktu paredzēts papildināt Ministru kabineta 2022.gada 20.septembra noteikumus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Noteikumi Nr.594) ar 27.6.1.8.apakšpunktu, nosakot, ka komersants vai persona, kura ir komersanta valdes vai padomes loceklis vai prokūrists, vai persona, kura ir pilnvarota pārstāvēt komersantu ar filiāli saistītajās darbībās, ar tādu prokurora priekšrakstu par sodu vai tiesas spriedumu, kas stājies spēkā un kļuvis neapstrīdams un nepārsūdzams, nedrīkst būt atzīta par vainīgu neatļautā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projekta 13.punktu paredzēts papildināt Noteikumus Nr.594 ar 27.</w:t>
            </w:r>
            <w:r w:rsidR="00000000" w:rsidRPr="00000000" w:rsidDel="00000000">
              <w:rPr>
                <w:vertAlign w:val="superscript"/>
                <w:rtl w:val="0"/>
              </w:rPr>
              <w:t xml:space="preserve">2 </w:t>
            </w:r>
            <w:r w:rsidR="00000000" w:rsidRPr="00000000" w:rsidDel="00000000">
              <w:rPr>
                <w:rtl w:val="0"/>
              </w:rPr>
              <w:t xml:space="preserve">punktu, paredzot, ka sabiedrība “Altum” par Noteikumu Nr.594 27.6.1., 27.6.2. un 27.6.3.apakšpunktā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sabiedrība “Altum” pārbaudītu, vai komersants vai persona, kura ir komersanta valdes vai padomes loceklis vai prokūrists, vai persona, kura ir pilnvarota pārstāvēt komersantu ar filiāli saistītajās darbībās,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sabiedrībai “Altum” ziņas par administratīvajiem pārkāpumiem vai noziedzīgiem nodarījumiem,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papildus norādot attiecīgo nozari regulējošo likumu un Krimināllikuma pantus, par kuros paredzētajiem administratīvajiem pārkāpumiem un noziedzīgajiem nodarījumiem komersants vai persona, kura ir komersanta valdes vai padomes loceklis vai prokūrists, vai persona, kura ir pilnvarota pārstāvēt komersantu ar filiāli saistītajās darbībās, nedrīkst būt sodīts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par pieprasāmo informāciju no "Sodu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Vēršam uzmanību, ka noteikumu projektā (Ministru kabineta noteikumos) nav pieļaujams noteikt ar administratīvo atbildību saistītus ierobežojumus privātpersonām. Turklāt likumā esošais pilnvarojums nepiešķir Ministru kabinetam tiesības noteikt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iepriekš saskaņošanas ietvaros tika norādīts, pastāv atsevišķi jautājumi, kuri vienmēr ir jāizlemj pašam likumdevējam. Turklāt pat tad, ja Ministru kabinets varētu noteikt ierobežojumus privātpersonām, pilnvarojuma saturs to šajā gadījumā nepieļauj.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Minētais attiecināms arī uz administratīvo atbildību un citām krimināltiesiska (sodoša) rakstura sankcijām.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 sk. 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Tas nozīmē, ka vienīgi parlaments var noteikt administratīvos pārkāpumus un par tiem piemērojamos sodus (Latvijā vēsturiski to var arī pašvaldība kā tieši demokrātiski leģitimēta institūcija, balstoties uz precīzu parlamenta pilnvarojumu). Minētais attiecas arī uz jautājumiem, kas tieši saistīti ar sodu un tā tiesiskajām sekām. Pretējā gadījumā šādā veidā izpildvara varētu būtiski izmainīt likumdevēja īstenoto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Dažkārt administratīvās sodāmības tiesiskās sekas iziet ārpus formālajām administratīvo pārkāpumu tiesībām. Likumdevējs atsevišķās jomās ir noteicis (papildu) ierobežojumus administratīvi sodītajām personām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141. lpp.</w:t>
            </w:r>
            <w:r w:rsidR="00000000" w:rsidRPr="00000000" w:rsidDel="00000000">
              <w:rPr>
                <w:rtl w:val="0"/>
              </w:rPr>
              <w:t xml:space="preserve">). Taču būtībā šādiem ierobežojumiem ir papildsodam raksturīga ietekme. Vienīgi privātpersonām tiesību ierobežojumi netiek formāli piemēroti kā Administratīvās atbildības likumā minētie papildsodi, bet noteikti citi tiesību ierobežojumi attiecīgās nozares likumā. Tomēr Ministru kabinetam jebkurā gadījumā nav tiesību noteikt šādus ierobežojumus, pretējā gadījumā izpildvara varētu būtiski ietekmēt administratīvās sodāmības tiesiskās sekas. Saeimai kā formālajam likumdevējam nav tiesību arī pilnvarot Ministru kabinetu regulēt šādus jautājumus. Tā ir ekskluzīva likumdevēja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un grozāmajos noteikumos nav ietverami atbalsta piešķiršanas kritēriji, kas saistīti ar administratīvo atbildību vai citām krimināltiesiska (sodoša) rakstura administratīvām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un noteikumu projekta anotācijā norādīts, ka "ka izslēgšanas nosacījumu piemērošana faktiski izriet no ES tiesību aktiem, proti, Eiropas Parlamenta un Padomes Regulas 2018/1046 par finanšu noteikumiem, ko piemēro Savienības vispārējam budžetam, kā arī Eiropas Parlamenta un Padomes 2009. gada 18. jūnija direktīvas 2009/52/EK, ar ko nosaka minimālos standartus sankcijām un pasākumiem pret darba devējiem, kas nodarbina trešo valstu valstspiederīgos, kuri dalībvalstīs uzturas nelikumīgi". Tomēr no norādītā regulējuma nav secināms, ka Eiropas Savienība noteiktu tikt kategorisku pienākumu, ka nacionālā līmeņa normatīvajos aktos nebūtu nepieciešams vai pieļaujams to konkretizēt (nepastāvētu nekāda rīcības brīvība). Piemēram, direktīvā ir minētas "dažas vai visas priekšrocības", "uz laiku līdz 5 gadiem", "uz laiku un patstāvīgi". Tas prasa likumdevēja izšķiršanos, kādu tieši ierobežojumu konkrētajā gadījumā noteikt. Savukārt, ja precīzs ierobežojums būtu noteikts regulā, tad to nav nepieciešams un nav arī pieļaujams atkārtot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iekārtas likuma 31. panta pirmās daļas 1. punkts noteic, ka Ministru kabinets var izdot ārējus normatīvos aktus – noteikumus, ja likums Ministru kabinetu tam īpaši pilnvarojis. Pilnvarojumā norāda tā galvenos satura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 gada 9. oktobra sprieduma lietā Nr. 2007-04-03 19. 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 gada 9. oktobra sprieduma lietā Nr. 2007-04-03 20. 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 gada 18. oktobra sprieduma lietā Nr. 2017-33-03 14. punkts; Satversmes tiesas 2005. gada 21. novembra sprieduma lietā Nr. 2005‑03‑0306 10. 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 gada 2. marta sprieduma lietā Nr. 2015-11-03 23.4.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2018. gada 18. oktobra sprieduma lietā Nr. 2017-33-03 14. punktu</w:t>
            </w:r>
            <w:r w:rsidR="00000000" w:rsidRPr="00000000" w:rsidDel="00000000">
              <w:rPr>
                <w:rtl w:val="0"/>
              </w:rPr>
              <w:t xml:space="preserve">). Pat pieņemot skaidrojumu, ka pilnvarojošā norma – "noteikt kārtību" – neizslēdz Ministru kabineta tiesības pieņemt materiāla rakstura normas, ja tās atbilst likuma mērķim un citiem Latvijas Republikas Satversmes un demokrātiskas valsts pamatprincipiem un neveido jaunas, pilnvarojuma neparedzētas tiesiskās attiecības (</w:t>
            </w:r>
            <w:r w:rsidR="00000000" w:rsidRPr="00000000" w:rsidDel="00000000">
              <w:rPr>
                <w:i w:val="1"/>
                <w:rtl w:val="0"/>
              </w:rPr>
              <w:t xml:space="preserve">Valsts iestāžu juridisko dienestu vadītāju 2020. gada 22. oktobra sanāksmes protokola Nr. 2 1. §</w:t>
            </w:r>
            <w:r w:rsidR="00000000" w:rsidRPr="00000000" w:rsidDel="00000000">
              <w:rPr>
                <w:rtl w:val="0"/>
              </w:rPr>
              <w:t xml:space="preserve">), tas nav attiecināms uz krimināltiesiska (sodoša) rakstura administratīvajām sankcijām vai to piemērošanas tiesiskajām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teikt, ka Attīstības finanšu institūcijas likuma 12. panta ceturtajā daļā likumdevējs nebūtu mēģinājis ierobežot Ministru kabineta regulējamo jautājumu loku. Tajā ir ietverts visai detalizēts uzskaitījums, taču neviens no tiem skaidri nenorāda uz atbalsta piešķiršanas kritērijiem. Līdzīgi secinājumi attiecas arī uz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Tieslietu ministrija uztur 2023. gada 13. novembra atzinumā ietverto 3. un 4. iebildumu. Saistībā ar 4. iebildumu izziņā ir iekļauta vien nekonkretizēta atsauce uz "ES tiesību aktiem, kuros noteikti termiņi" un ES fondu praksi. Pēdējam apsvērumam nav izšķirošas nozīmes. Tādā gadījumā likumsakarīgs ir jautājums, kāpēc tajā likumā tika noteikti tieši tādi termiņi un vai attiecīgais regulējums nav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atbilstoši 2021.gada 6.jūlija Eiropas Savienības Padomes īstenošanas lēmumam Nr. 10157/21 “Par Latvijas atveseļošanas un noturības plāna novērtējuma apstiprināšanu” starp Latvijas Republiku un Eiropas Komisiju kā donoru ir panākta vienošanās, ka Atveseļošanas un noturības mehānisma horizontāliem izslēgšanas kritērijiem piemēro tādu paši praksi kā attiecībā uz Eiropas Savienības investīcijām, tas ir, Eiropas Savienības fondu 2021.—2027. gada plānošanas perioda vadības likuma 22.panta pirmās daļas 1.- 4. punktā noteiktos izslēgšanas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Noteikumu projektā ietvertie kritēriji, kas saistīti ar administratīvo atbildību, un to skaidrojums projekta anotācijā neatbilst administratīvās atbildības regulējumam, tādēļ lūdzam precizēt noteikumu projektā ietverto subjektu uzskaitījumu un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iepriekš saskaņošanas ietvaros norādīts, ka nav saprotama noteikumu projektā ietverto sodīto personu izvēle. Šobrīd noteikumu projekta anotācijā ir skaidrots, ka praksē sods tiek piemērots ar komersantu saistītām personām, nevis pašam komersantam. Piemēram, par nodarbināšanas pārkāpumiem tiek sodīts konkrētā uzņēmuma valdes loceklis, nevis pats komersants kā juridiska persona (Imigrācijas likuma 68.</w:t>
            </w:r>
            <w:r w:rsidR="00000000" w:rsidRPr="00000000" w:rsidDel="00000000">
              <w:rPr>
                <w:vertAlign w:val="superscript"/>
                <w:rtl w:val="0"/>
              </w:rPr>
              <w:t xml:space="preserve">4</w:t>
            </w:r>
            <w:r w:rsidR="00000000" w:rsidRPr="00000000" w:rsidDel="00000000">
              <w:rPr>
                <w:rtl w:val="0"/>
              </w:rPr>
              <w:t xml:space="preserve"> pants). Ja tāda prakse tiešām pastāv, tad pamatā (izņemot attiecībā uz valdes locekli) tā ir prettiesiska un projekts paredz ierobežojumus, vēl vairāk pastiprinot prettiesiskas prakses rezultātā radītās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68.</w:t>
            </w:r>
            <w:r w:rsidR="00000000" w:rsidRPr="00000000" w:rsidDel="00000000">
              <w:rPr>
                <w:vertAlign w:val="superscript"/>
                <w:rtl w:val="0"/>
              </w:rPr>
              <w:t xml:space="preserve">4</w:t>
            </w:r>
            <w:r w:rsidR="00000000" w:rsidRPr="00000000" w:rsidDel="00000000">
              <w:rPr>
                <w:rtl w:val="0"/>
              </w:rPr>
              <w:t xml:space="preserve"> pantā noteikts, ka atbildību par šiem pārkāpumiem piemēro fiziskajām personām vai valdes loceklim. Lai šajā gadījumā noskaidrotu, kuram subjektam ir piemērojama administratīvā atbildība, nepieciešams saprast, kāds ir bijis likumdevēja mērķis, nosakot administratīvo atbildību, un kurām personām ar likumu tika noteikti pienākumi. Sistēmiski izvērtējot regulējumu (tostarp Darba likumu un Eiropas Parlamenta un Padomes 2009. gada 18. jūnija direktīvu 2009/52/EK), secināms, ka administratīvā atbildība ir piemērojama darba devējam – fiziskai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8. panta otrajā daļā ir noteikts, ka par pārkāpumiem, kurus izdarījusi privāto tiesību juridiskā persona, nozaru likumos noteiktajos gadījumos pie administratīvās atbildības sauc valdes locekli. Galvenais apsvērums juridiskās personas atbildības pārnešanai uz fizisku personu – valdes locekli – bija nepieciešamība piemērot papildsodu, kas uz noteiktu laiku liedz ieņemt amatus komercsabiedrībās. Tādējādi personas, kas tieši atbildīgas par pārkāpuma izdarīšanu komercdarbības jomā, tiesības piedalīties komercdarbībā uz laiku tiek ierobežotas (</w:t>
            </w:r>
            <w:r w:rsidR="00000000" w:rsidRPr="00000000" w:rsidDel="00000000">
              <w:rPr>
                <w:i w:val="1"/>
                <w:rtl w:val="0"/>
              </w:rPr>
              <w:t xml:space="preserve">Smiltēna A. 2. nodaļa. Administratīvais pārkāpums. Skaidrojumi. Grām.: Administratīvo pārkāpumu tiesības. Administratīvās atbildības likuma skaidrojumi. Sagatavojis autoru kolektīvs. E. Danovska un G. Kūtra zinātniskajā redakcijā. Rīga: Tiesu namu aģentūra, 2020, 112.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projektā minētais komersants kā darba devējs būtu izdarījis Imigrācijas likuma 68.</w:t>
            </w:r>
            <w:r w:rsidR="00000000" w:rsidRPr="00000000" w:rsidDel="00000000">
              <w:rPr>
                <w:vertAlign w:val="superscript"/>
                <w:rtl w:val="0"/>
              </w:rPr>
              <w:t xml:space="preserve">4</w:t>
            </w:r>
            <w:r w:rsidR="00000000" w:rsidRPr="00000000" w:rsidDel="00000000">
              <w:rPr>
                <w:rtl w:val="0"/>
              </w:rPr>
              <w:t xml:space="preserve"> pantā noteiktu pārkāpumu, administratīvā atbildība varētu būt piemērota komersanta valdes loceklim. Taču tas neattiecas uz padomes locekli, prokūristu, vai personu, kura ir pilnvarota pārstāvēt komersantu ar filiāli saistītās darbībās. Vienīgi gadījumā, ja ņemtu vērā šīm personām kā darba devējiem vai darba devēja valdes locekļiem iepriekš piemērotu administratīvo atbildību, varētu izskaidrot projektā esošo regulējumu. Šajā gadījumā atkal ir pavisam apšaubāms ierobežojuma samērīgums, jo minēto personu pārkāpums nekādi nav saistāms ar projektā minēto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saistībā ar grozāmo noteikumu 27.6.3. apakšpunktā minētajiem konkurences tiesību pārkāpumiem atbildību šobrīd piemēro tirgus dalībniekam, nevis konkrētam tirgus dalībnieka valdes loceklim vai citām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anotācija ir papildināta ar  skaidrojumu, ka atbilstoši 2021.gada 6.jūlija Eiropas Savienības Padomes īstenošanas lēmumam Nr. 10157/21 “Par Latvijas atveseļošanas un noturības plāna novērtējuma apstiprināšanu” starp Latvijas Republiku un Eiropas Komisiju kā donoru ir panākta vienošanās, ka Atveseļošanas un noturības mehānisma horizontāliem izslēgšanas kritērijiem piemēro tādu paši praksi kā attiecībā uz Eiropas Savienības investīcijām, tas ir, Eiropas Savienības fondu 2021.—2027. gada plānošanas perioda vadības likuma 22.panta pirmās daļas 1.- 4. punktā noteiktos izslēgšanas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projektā ietverto subjekta loka izvēles pamatojums, kuras esot sodītas, nevar kandidēt atbalstam. Piemēram, administratīvā atbildība par darba līguma neslēgšanu Darba likuma 158. pantā paredzēta gan fiziskai personai, gan juridiskajai personai. Attiecīgi būtu izvērtējams, vai projekta regulējums nevajadzīgi nepaplašina vai nesašaurina to personu loku, kam vispār varētu noteikt ierobežojumus saistībā ar to izdarītiem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anotācijā - skatīt pie izziņas 2.punkta.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atzīts par vainīgu un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pieļaujams iestāžu pakalpojuma saņemšanas un citus ierobežojumus (tostarp atbalsta pasākumu ierobežojumus), kas saistīti ar personas izdarītajiem administratīvajiem pārkāpumiem, noteikt Ministru kabineta noteikumos. Minētais jautājums ir jārisina likumdevējam. Attiecīgi, lūdzam svītrot minētās prasības, vai arī pamatot to iekļaušanu noteikumos,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Attīstības finanšu institūcijas likumā ietvertais pilnvarojums 12. panta ceturtajā daļā varētu radīt priekšstatu, ka Ministru kabinets var noteikt nosacījumus, kādiem jāatbilst personai, lai tā varētu kandidēt uz atbalstu, tomēr vērtējot tiesību normas sistēmiski, minētais pilnvarojums attiecas uz finanšu institūcijas darbību, nevis privātpersonu. Tādas prasības, kas piešķir personai atbalstu vai liedz to darīt, būtu nosakāmas likuma līmenī. Tas balstās apsvērumos, ka likumdošanas procesā likumdevējam ir jāizlemj svarīgākie jautājumi. Lai gan noteiktos gadījumos arī Ministru kabinets var noteikt ierobežojumus personai, kas var skart tās pamattiesības, tomēr šajos gadījumos likumā ietvertajam Saeimas pilnvarojumam ir jābūt skaidram un precīzam.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regulējums noteic personai ierobežojumus saņemt atbalstu saistībā ar faktu, ka tā ir sodīta par pārkāpumu, minēto ierobežojumu nesaistot ne ar soda izpildi, ne sodāmības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šādus ierobežojošus nosacījumus,kas saistīti ar personas izdarītajiem pārkāpumiem, tiem ir jābūt izsvērtiem, pamatotiem un jāatbilst sodu tiesību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noteiktos gadījumos valsts var personai noteikt ierobežojumus, kas saistīti ar personas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administratīvajiem pārkāpumiem normatīvajos aktos var būt divas pieejas privātpersonai uzlikto ierobežojumu regulēšanā: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ierobežojumi administratīvās sodīšanas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ierobežojumi administratīvā soda neizpildes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pieejas atšķiras, un tām ir dažādi mērķi. Sodāmība  ir tiesiskās sekas, ko personai rada tās atzīšana par vainojamu administratīvā pārkāpuma izdarīšanā un administratīvā soda piemērošanā. Sodāmības jēdziens plašākā nozīmē aptver arī citas juridiskas sekas, kas citstarp var izpausties kā tiesību ierobežojums, piemēram, kandidēt uz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gadījumā personai var noteikt ierobežojumu veikt noteiktu darbību vai saņemt valsts atbalstu, tādēļ, ka persona ir sodīta par likumpārkāpumu. Šādos gadījumos ierobežojumi uz personu parasti attiecas līdz brīdim, kad personas sodāmība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minētajā gadījumā, ierobežojumus valsts var noteikt, lai veicinātu piemērotā soda izpildes samaksu.Tāpēc tiesību normā ir iespējams paredzēt, ka valsts liedz kādu pakalpojumu tādēļ, ka persona nav izpildījusi piemēroto naudas sodu.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minēto veidu ierobežojumi var būtiski skart personas iespējas iegūt sev vēlamo labumu vai tiesības. Attiecīgi šādu ierobežojumu izvērtēšana un paredzēšana būtu jāuztic likumdevējam. Piemēram,  attiecībā uz gadījumiem, kad persona sodu nav izpildījusi, Administratīvās atbildības likuma 2. panta trešā daļa noteic, ka nozaru likumos var noteikt arī iestāžu pakalpojumu saņemšanas un citus ierobežojumus administratīvi sodītajām personām, kuras izvairās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tiesību normā vārds "likumi" ir lietots šaurā nozīmē, proti, iestāžu pakalpojumu saņemšanas un citus ierobežojumus administratīvā soda neizpildes gadījumā nevar noteikt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šādus un  ar sodāmību vērstus ierobežojumus ir jāizlemj likumdevējam.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 2.punktā skaidrotajam, sniegts sekojošs skaidrojumam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izslēgšanas nosacījumu piemērošana faktiski izriet no ES tiesību aktiem, proti, Eiropas Parlamenta un Padomes Regulas 2018/1046 par finanšu noteikumiem, ko piemēro Savienības vispārējam budžetam, kā arī Eiropas Parlamenta un Padomes 2009.gada 18.jūnija direktīvas 2009/52/EK, ar ko nosaka minimālos standartus sankcijām un pasākumiem pret darba devējiem, kas nodarbina trešo valstu valstspiederīgos, kuri dalībvalstīs uzturas nelikumīgi. Attiecīgi minētajos ES tiesību aktos ir noteikts aizliegums saņemt ES līdzekļu atbalstu, subsīdijas, ja konstatēts kāds no attiecīgajiem pārkāpumiem. Līdz ar to nenosakot šāda veida ierobežojumus, Latvija pārkāptu minētos ES tiesību aktus. Papildus skaidrojam, ka atbilstoši Likuma par budžetu un finanšu vadību 19.3 punktam, Ministru kabinetam ir tiesības noteikt ieviešanas un uzraudzības kārtību Atjaunošanas un noturības mehānismam, attiecīgi Ministru kabinets konkrētā gadījumā ne tikai nodrošina nacionālo tiesību aktu atbilstību ES tiesību aktiem, bet iekļaujas arī nacionāli dotā deleģējuma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 attiecīgiem grozījumiem tiek precizēti tikai subjekti, kuri pārkāpumu izdarījuši, nevis izslēgšanas nosacījumi pēc būtības, kā arī noteiktie kritēriji ir horizontāli piemērojami un iekļauti arī citos atjaunošanas un  noturības mehānisma finansētos atbalsta nosacījumos. Papildus skaidrojam, ka termiņi, kādos nav iespējams saņemt atbalstu ir salāgoti ar ES tiesību aktiem, kuros noteikti termiņi. Papildus, Eiropas Komisija ir saskaņojusi Latvijas kā dalībvalsts pieeju, ka Atjaunošanas un noturības mehānisma ietvaros attiecīgie izslēgšanas kritēriji tiek piemēroti atbilstoši ES fondu praksei, tas ir, Eiropas Savienības fondu 2021.—2027. gada plānošanas perioda vadības likuma 22.pantam.”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9.punktu paredzēts izteikt Ministru kabineta 2022. gada 20. septembra noteikumu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Noteikumi Nr.594) 27.6.2.2.apakšpunktu jaunā redakcijā, paredzot, ka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nedrīkst būt atzīts par vainīgu un sodīts par pārkāpumu, kas izpaužas kā personas nodarbināšana bez rakstveidā noslēgta darba līguma, nodokļu normatīvajos aktos noteiktajā termiņā neiesniedzot par šo personu informatīvo deklarāciju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projekta 12.punktu paredzēts papildināt Noteikumus Nr.594 ar 27.</w:t>
            </w:r>
            <w:r w:rsidR="00000000" w:rsidRPr="00000000" w:rsidDel="00000000">
              <w:rPr>
                <w:vertAlign w:val="superscript"/>
                <w:rtl w:val="0"/>
              </w:rPr>
              <w:t xml:space="preserve">2</w:t>
            </w:r>
            <w:r w:rsidR="00000000" w:rsidRPr="00000000" w:rsidDel="00000000">
              <w:rPr>
                <w:rtl w:val="0"/>
              </w:rPr>
              <w:t xml:space="preserve"> punktu, paredzot, ka akciju sabiedrība “Attīstības finanšu institūcija Altum” par Noteikumu Nr.594 27.6.1., 27.6.2. un 27.6.3.apakšpunktā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projekta 9.punktā (Noteikumu Nr.594 27.6.2.2.apakšpunktā) ietvertais nosacījums ir identisks nosacījumam, kāds ir ietverts Publisko iepirkumu likuma 42.panta otrās daļas sestā punkta b) apakšpunktā. Līdz ar to ir pamats uzskatīt, ka arī minētais nosacījums tiek interpretēts un piemērots  tāpat  kā  attiecīgais regulējums publisko iepirkumu jomā, proti, saskaņā ar Publisko iepirkumu likuma regulējumu izslēgšanas iemesls piemērojams tikai tajā gadījumā, ja nolēmumā, ar kuru persona sodīta par personas nodarbināšanu bez rakstveidā noslēgta darba līguma (Darba likuma  158.pants) un nolēmumā, ar kuru persona sodīta par termiņā neiesniegtu informatīvo deklarāciju (Likuma “Par nodokļiem un nodevām” 142.panta otrā daļa), ietvertie pārkāpumi ir konstatēti saistībā ar vienu un to pašu nodarbināto personu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Sodu reģistra likuma 12.pantā ir noteiktas ziņas, kas tiek iekļautas Sodu reģistrā par administratīvo pārkāpumu izdarījušo personu.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tikai tehniski nodrošina datu atlasi no Sodu reģistrā pieejamās informācijas, kas var būt par pamatu, lai tālāk jau akciju sabiedrība “Attīstības finanšu institūcija Altum” lemtu, vai ir iestājušies projektā noteiktie izslēgšanas nosacījumi. Līdz ar to Iekšlietu ministrijas Informācijas centrs var sniegt tikai tā rīcībā esošu informāciju, proti, informāciju par to, vai persona ir sodīta par attiecīgajiem pārkāpumiem attiecīgajā periodā. Savukārt akciju sabiedrība “Attīstības finanšu institūcija Altum”, saņemot šādu informāciju, veic tālāko izvērtējumu par atbilstību projektam,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ir papildināms, paredzot, kā notiks informācijas, kas nav iekļauta Iekšlietu ministrijas Informācijas centra pārziņā esošajā valsts informācijas sistēmā “Sodu reģistrs”, iegūšana, lai akciju sabiedrība “Attīstības finanšu institūcija Altum” varētu izvērtēt, vai nav iestājušies Noteikumu Nr.594 27.6.2.2.apakšpunktā noteiktie izslēgšanas nosacījumi,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9.punktā ietvertais Noteikumu Nr.594 27.6.2.2.apakšpunkts precizējams vai sadalāms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https://tapportals.mk.gov.lv/annotation/fa46f2a5-613b-45c2-be0f-584325240f51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IeM sniegto iebildumu un precizējusi 27.6.2.2. apakšpunktu saskaņā ar IeM norādīto, vadoties pēc vienota principa un ņemot vērā jau citas EM virzītas un MK apstiprinātas ANM investīciju regulējošos Ministru kabineta noteikumus (skat. piemēram 22-TA-3597).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27.6.5. komersants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11.punktu paredzēts papildināt Ministru kabineta 2022.gada 20.septembra noteikumus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Noteikumi Nr.594) ar 27.6.5.apakšpunktu, nosakot, ka komersants ar tādu attiecīgā jomā kompetentas institūcijas lēmumu par sodu vai tiesas spriedumu, kas stājies spēkā un kļuvis neapstrīdams un nepārsūdzams, nevar būt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sabiedrība “Altum” saņems minēto informāciju par komersanta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sabiedrība “Altum” pārbaudītu, vai komersants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11.punktā ietvertajā Noteikumu Nr.594 27.6.5.apakšpunktā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11.punktā ietvertajā Noteikumu Nr.594 27.6.5.apakšpunktā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pasūtītājam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komersants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projekta 13.punktā ietverto Noteikumu Nr.594 27.</w:t>
            </w:r>
            <w:r w:rsidR="00000000" w:rsidRPr="00000000" w:rsidDel="00000000">
              <w:rPr>
                <w:vertAlign w:val="superscript"/>
                <w:rtl w:val="0"/>
              </w:rPr>
              <w:t xml:space="preserve">2</w:t>
            </w:r>
            <w:r w:rsidR="00000000" w:rsidRPr="00000000" w:rsidDel="00000000">
              <w:rPr>
                <w:rtl w:val="0"/>
              </w:rPr>
              <w:t xml:space="preserve"> punkta pirmo teikumu, papildinot to ar atsauci uz Noteikumu Nr.594 27.6.5.apakšpunktu.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par pieprasāmo informāciju no "Sodu reģistra".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Sabiedrība "Altum" nenoraida aizdevuma vai garantijas pieteikumu, ja no dienas, kad kļuvis neapstrīdams un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izvērstu un pamatotu skaidrojumu termiņiem, kas liedz personai kandidēt uz atbalstu noteiktu laiku saistībā ar izdarītajiem pārkāpumiem. Tipiskā gadījumā valsts ierobežojumus noteic, vai nu uz sodāmības laiku vai līdz soda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Sabiedrība "Altum" par šo noteikumu </w:t>
            </w:r>
            <w:r w:rsidR="00000000" w:rsidRPr="00000000" w:rsidDel="00000000">
              <w:rPr>
                <w:rtl w:val="0"/>
              </w:rPr>
              <w:t xml:space="preserve">27.6.1.</w:t>
            </w:r>
            <w:r w:rsidR="00000000" w:rsidRPr="00000000" w:rsidDel="00000000">
              <w:rPr>
                <w:rtl w:val="0"/>
              </w:rPr>
              <w:t xml:space="preserve">, </w:t>
            </w:r>
            <w:r w:rsidR="00000000" w:rsidRPr="00000000" w:rsidDel="00000000">
              <w:rPr>
                <w:rtl w:val="0"/>
              </w:rPr>
              <w:t xml:space="preserve">27.6.2.</w:t>
            </w:r>
            <w:r w:rsidR="00000000" w:rsidRPr="00000000" w:rsidDel="00000000">
              <w:rPr>
                <w:rtl w:val="0"/>
              </w:rPr>
              <w:t xml:space="preserve"> un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noteiktajiem gadījumiem ziņas iegūst no Iekšlietu ministrijas Informācijas centra pārziņā esošās valsts informācijas sistēmas "Sodu reģistrs". Informāciju par šo noteikumu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personas datu apstrādes tiesisko pamatojumu. Pieteikuma iesniedzējs nevar piekrist citu fizisku personu sodāmības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iepriekš saskaņošanas ietvaros tika norādīs, ka nepieciešams skaidrot, kur un kā tiek fiksēta personas piekrišana tās datu apstrādei. Izziņā norādīts, ka projekta iesniedzējs informācijas sistēmā piekrīt datu apstrādei gan par komersantu, gan par saistītajām personām. Saistībā ar minēto rodas šaubas, vai personas piekrišana šajā gadījumā patiešām ir atbilstošais datu apstrādes pamats. Kā arī nav saprotams, kā pieteikuma iesniedzējs varētu piekrist citu personu datu apstrādei (t. s. saistītās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2024.gada 10.janvāra e pastam, (reģistrēts Nr.3.7-8.1/2024/424S, pievienots kā papildus dokuments), iebildums netiek uzturēts.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Sabiedrība "Altum" par šo noteikumu </w:t>
            </w:r>
            <w:r w:rsidR="00000000" w:rsidRPr="00000000" w:rsidDel="00000000">
              <w:rPr>
                <w:rtl w:val="0"/>
              </w:rPr>
              <w:t xml:space="preserve">27.6.1.</w:t>
            </w:r>
            <w:r w:rsidR="00000000" w:rsidRPr="00000000" w:rsidDel="00000000">
              <w:rPr>
                <w:rtl w:val="0"/>
              </w:rPr>
              <w:t xml:space="preserve"> ,27.6.2., 27.6.3. vai 27.6.5. noteiktajiem gadījumiem ziņas iegūst no Iekšlietu ministrijas Informācijas centra pārziņā esošās valsts informācijas sistēmas "Sodu reģistrs". Informāciju par šo noteikumu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Sabiedrība "Altum" par šo noteikumu </w:t>
            </w:r>
            <w:r w:rsidR="00000000" w:rsidRPr="00000000" w:rsidDel="00000000">
              <w:rPr>
                <w:rtl w:val="0"/>
              </w:rPr>
              <w:t xml:space="preserve">27.6.1.</w:t>
            </w:r>
            <w:r w:rsidR="00000000" w:rsidRPr="00000000" w:rsidDel="00000000">
              <w:rPr>
                <w:rtl w:val="0"/>
              </w:rPr>
              <w:t xml:space="preserve">, </w:t>
            </w:r>
            <w:r w:rsidR="00000000" w:rsidRPr="00000000" w:rsidDel="00000000">
              <w:rPr>
                <w:rtl w:val="0"/>
              </w:rPr>
              <w:t xml:space="preserve">27.6.2.</w:t>
            </w:r>
            <w:r w:rsidR="00000000" w:rsidRPr="00000000" w:rsidDel="00000000">
              <w:rPr>
                <w:rtl w:val="0"/>
              </w:rPr>
              <w:t xml:space="preserve"> un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noteiktajiem gadījumiem ziņas iegūst no Iekšlietu ministrijas Informācijas centra pārziņā esošās valsts informācijas sistēmas "Sodu reģistrs". Informāciju par šo noteikumu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personas sodāmību ir ierobežotas pieejamības. Lūdzam anotācijā skaidrot, kur un kā tiek fiksēta personas piekrišana šādas informācijas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piekrišana tiek fiksēta mans.altum.lv sistēmā, projekta iesniedzējam, iesniedzot pieteikumu sistēmā, piekrītot attiecīgo datu apstrādei (norādīts, ka dati tiek apstrādāti gan par komersantu, gan saistītām personām, tās uzskaitot, kā arī uzskaitīti attiecīgi reģistri, tai skaitā Sodu reģistrs no kā dati tiek iegūti).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Sabiedrība "Altum" par šo noteikumu </w:t>
            </w:r>
            <w:r w:rsidR="00000000" w:rsidRPr="00000000" w:rsidDel="00000000">
              <w:rPr>
                <w:rtl w:val="0"/>
              </w:rPr>
              <w:t xml:space="preserve">27.6.1.</w:t>
            </w:r>
            <w:r w:rsidR="00000000" w:rsidRPr="00000000" w:rsidDel="00000000">
              <w:rPr>
                <w:rtl w:val="0"/>
              </w:rPr>
              <w:t xml:space="preserve"> ,27.6.2., 27.6.3. vai 27.6.5. noteiktajiem gadījumiem ziņas iegūst no Iekšlietu ministrijas Informācijas centra pārziņā esošās valsts informācijas sistēmas "Sodu reģistrs". Informāciju par šo noteikumu </w:t>
            </w:r>
            <w:r w:rsidR="00000000" w:rsidRPr="00000000" w:rsidDel="00000000">
              <w:rPr>
                <w:rtl w:val="0"/>
              </w:rPr>
              <w:t xml:space="preserve">27.6.3. </w:t>
            </w:r>
            <w:r w:rsidR="00000000" w:rsidRPr="00000000" w:rsidDel="00000000">
              <w:rPr>
                <w:rtl w:val="0"/>
              </w:rPr>
              <w:t xml:space="preserve">apakšpunkt</w:t>
            </w:r>
            <w:r w:rsidR="00000000" w:rsidRPr="00000000" w:rsidDel="00000000">
              <w:rPr>
                <w:rtl w:val="0"/>
              </w:rPr>
              <w:t xml:space="preserve">ā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atkritumu apglabāšanai un atkritumu apglabāšanas poligoniem, mehāniski bioloģiskajai apstrādei vai atkritumu sadedzināšanai un mehāniskās bioloģiskās attīrīšanas un atkritumu sadedzināšanas iekārtām, izņemot: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Atkritumu apsaimniekošanas valsts plāna 2021.-2028.gadam prioritāri norādītās atkritumu apsaimniekošanas darbības saistībā ar nozares noteiktajiem mērķiem, kā arī 7.nodaļu “Plānā paredzēto pasākumu īstenošanai nepieciešamais un pieejamais finansējums un tā avoti” un tajā ietverto  7.4.tabulu  “Investīciju pasākumu finansēšanas avoti”, kur minēti ierobežojumi publisko līdzekļu piesaistei,Vides aizsardzības un reģionālās attīstības ministrija ierosina izteikt tiesību akta projekta 23-TA-2246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MK noteikumi Nr.594) 28.12.apakšpunktu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atkritumu apglabāšanai, mehāniski bioloģiskajai apstrādei, sagatavojot atkritumus apglabāšanai vai sadedzināšanai, vai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arbilstoši VARAM piedārātajai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atkritumu apglabāšanai, mehāniski bioloģiskajai apstrādei, sagatavojot atkritumus apglabāšanai vai sadedzināšanai, vai atkritumu sadedzināšanai;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komersantam ir pienākums atmaksāt sabiedrībai "Altum"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precizēt noteikumu 32.4.apakšpunktu, kā arī noteikumu 109.punktu.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tiek pārkāpti Komisijas regulas Nr. 1407/2013 nosacījumi, atbalsta saņēmējam ir pienākums atmaksāt pašvaldībai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Ja tiek pārkāpti Komisijas regulas Nr. 651/2014 nosacījumi, komersantam ir pienākums atmaksāt sabiedrībai "Altum" visu projekta ietvaros saņemto nelikumīgo valsts atbalstu kopā ar procentiem no līdzekļiem, kas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saskaņā ar FM komentārā norādītajām redakcijām.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tiek pārkāpti Komisijas regulas Nr. 2023/2831 nosacījumi, komersantam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ja par vienām un tām pašām projekta attiecināmajām izmaksām tiek sniegts atbalsts vairāku valsts atbalsta programmu ietvaros, komersants darbus projektā var uzsākt tikai pēc tam, kad visās valsts iestādēs, kurās šim pašam projektam komersants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kumulācijas gadījumā ir jāpārliecinās arī par to, vai netiek pārsniegta maksimālā atbalsta intensitāte, lūdzam noteikumu 50.2.apakšpunktā ietverto normu papildināt ar nosacījumu, ka kumulācijas gadījumā projekta iesniegumā par projekta īstenošanu ir sniegta informācija arī par piemēroto atbalsta intensitāti (skat., arī noteikumu 93.6.apakšpunkta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Finanšu ministrijas komentāram.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ja par vienām un tām pašām projekta attiecināmajām izmaksām tiek sniegts atbalsts vairāku valsts atbalsta programmu ietvaros, komersants darbus projektā var uzsākt tikai pēc tam, kad visās valsts iestādēs, kurās šim pašam projektam komersants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 un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Atbalstu, kas sniegts saskaņā ar Komisijas regulas Nr. </w:t>
            </w:r>
            <w:r w:rsidR="00000000" w:rsidRPr="00000000" w:rsidDel="00000000">
              <w:rPr>
                <w:rtl w:val="0"/>
              </w:rPr>
              <w:t xml:space="preserve">651/2014</w:t>
            </w:r>
            <w:r w:rsidR="00000000" w:rsidRPr="00000000" w:rsidDel="00000000">
              <w:rPr>
                <w:rtl w:val="0"/>
              </w:rPr>
              <w:t xml:space="preserve"> 38.a pantu, izmanto šādām papildu ieguldījumu izmaksām, un tās iekļauj projekta attiecināmajās izmaksās, ja tās nepieciešamas, lai sasniegtu augstāku energoefektivitātes līmeni, un veido projekta ietvaros radīto pamatlīdzekļu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Komisijas regulas Nr. 651/2014 38.a panta 5.punktu attiecināmās izmaksas ir kopējās ieguldījumu izmaksas, nevis papildu ieguldījumu izmaksas, lūdzam atbilstoši precizēt noteikumu 53.punktā ietvertā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komentāram.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Atbalstu, kas sniegts saskaņā ar Komisijas regulas Nr. </w:t>
            </w:r>
            <w:r w:rsidR="00000000" w:rsidRPr="00000000" w:rsidDel="00000000">
              <w:rPr>
                <w:rtl w:val="0"/>
              </w:rPr>
              <w:t xml:space="preserve">651/2014</w:t>
            </w:r>
            <w:r w:rsidR="00000000" w:rsidRPr="00000000" w:rsidDel="00000000">
              <w:rPr>
                <w:rtl w:val="0"/>
              </w:rPr>
              <w:t xml:space="preserve"> 38.a pantu, izmanto šādām kopējo ieguldījumu izmaksām, un tās iekļauj projekta attiecināmajās izmaksās, ja tās nepieciešamas, lai sasniegtu augstāku energoefektivitātes līmeni, un veido projekta ietvaros radīto pamatlīdzekļu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53.7.7. citi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53.7.7. un 54.9.7. apakšpunktā (nepieciešamības gadījumā arī citos līdzīgos gadījumos) vai tā anotācijā norādīt, kādi vēl citi pasākumi varētu atbilst attiecīgajām izmaksām,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skaidrojumu, ka MK noteikumu Nr.594 III sadaļas "Atbalsts ēku energoefektivitātes paaugstināšanai" 53.7.7. un 54.9.7. apakšpunktā norādītie citi pasākumi, kas varētu būt atbalstāmi, ir saistīti ar inženiertehniskiem risinājumiem, kas energoefektivitātes paaugstināšanai un sasniegto rezultātu ilgtspējai (piemēram, zibens aizsardzības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53.7.7. citi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Atbilstoši Komisijas regulas Nr.651/2014 38.a panta 5.punktam,  izmaksas, kas nav tieši saistītas ar augstāka energoefektivitātes līmeņa sasniegšanu ēkā, nav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kas paredz papildināt noteikumus ar 55.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izteiktais noteikumu 55.</w:t>
            </w:r>
            <w:r w:rsidR="00000000" w:rsidRPr="00000000" w:rsidDel="00000000">
              <w:rPr>
                <w:vertAlign w:val="superscript"/>
                <w:rtl w:val="0"/>
              </w:rPr>
              <w:t xml:space="preserve">1 </w:t>
            </w:r>
            <w:r w:rsidR="00000000" w:rsidRPr="00000000" w:rsidDel="00000000">
              <w:rPr>
                <w:rtl w:val="0"/>
              </w:rPr>
              <w:t xml:space="preserve">punkts dublē Komisijas regulas Nr. 651/2014 38.a panta 5. punkta otrajā teikumā noteikto, ka "Izmaksas, kas nav tieši saistītas ar augstāka energoefektivitātes līmeņa sasniegšanu ēkā, nav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Atbalstu, ko sniedz saskaņā ar Komisijas regulas Nr. 651/2014 38. pantu, nepiešķir ieguldījumiem, kas norādīti Komisijas regulas Nr. 651/2014 1. panta 6. punktā, 38. panta 2., 2.a un 2.b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izteikto 61.</w:t>
            </w:r>
            <w:r w:rsidR="00000000" w:rsidRPr="00000000" w:rsidDel="00000000">
              <w:rPr>
                <w:vertAlign w:val="superscript"/>
                <w:rtl w:val="0"/>
              </w:rPr>
              <w:t xml:space="preserve">2 </w:t>
            </w:r>
            <w:r w:rsidR="00000000" w:rsidRPr="00000000" w:rsidDel="00000000">
              <w:rPr>
                <w:rtl w:val="0"/>
              </w:rPr>
              <w:t xml:space="preserve">punktu vai pamatot šāda regulējuma iekļaušanu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iekļautais regulējums attiecas uz Komisijas regulas Nr. 651/2014 normu piemērošanas jautājumiem. Ņemot vērā, ka Eiropas Savienības regulas ir </w:t>
            </w:r>
            <w:r w:rsidR="00000000" w:rsidRPr="00000000" w:rsidDel="00000000">
              <w:rPr>
                <w:u w:val="single"/>
                <w:rtl w:val="0"/>
              </w:rPr>
              <w:t xml:space="preserve">tieši piemērojamas</w:t>
            </w:r>
            <w:r w:rsidR="00000000" w:rsidRPr="00000000" w:rsidDel="00000000">
              <w:rPr>
                <w:rtl w:val="0"/>
              </w:rPr>
              <w:t xml:space="preserve">, kā arī Eiropas Savienības tiesību aktu pārākuma principu, ir izvērtējams, cik lielā mērā nacionālajos normatīvajos aktos nepieciešams iekļaut plašas atsauces uz regulu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noteikumu jau šobrīd ievērojamo apjomu un to, ka liela daļa noteikumu teksta veido dažāda veida atsauces uz regulu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vērtēt </w:t>
            </w:r>
            <w:r w:rsidR="00000000" w:rsidRPr="00000000" w:rsidDel="00000000">
              <w:rPr>
                <w:b w:val="1"/>
                <w:rtl w:val="0"/>
              </w:rPr>
              <w:t xml:space="preserve">arī citas </w:t>
            </w:r>
            <w:r w:rsidR="00000000" w:rsidRPr="00000000" w:rsidDel="00000000">
              <w:rPr>
                <w:rtl w:val="0"/>
              </w:rPr>
              <w:t xml:space="preserve">projektā ietvertās normas, kas formulētas kā atsauces uz regulu normām, piemēram, bet ne tikai, noteikumu projektā paredzēto 65.</w:t>
            </w:r>
            <w:r w:rsidR="00000000" w:rsidRPr="00000000" w:rsidDel="00000000">
              <w:rPr>
                <w:vertAlign w:val="superscript"/>
                <w:rtl w:val="0"/>
              </w:rPr>
              <w:t xml:space="preserve">1</w:t>
            </w:r>
            <w:r w:rsidR="00000000" w:rsidRPr="00000000" w:rsidDel="00000000">
              <w:rPr>
                <w:rtl w:val="0"/>
              </w:rPr>
              <w:t xml:space="preserve">punktu. T.i., lūdzam vērtēt, vai šādu regulējumu objektīvi nepieciešams ietvert nacionālajā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regulas ir tieši piemērojamas, izstrādājot atbalsta programmas uz regulu bāzes, ir svarīgi norādīt kuras no regulu normām ir piemērojamas uz attiecīgo atbalsta programmu, jo atbalsta programmu gadījumā atbalsta apjoms var mainīties un ir atkarīgs no tā, kuras regulu normas tiek lietotas atbalsta programmas izveidei.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Atbalstu, ko sniedz saskaņā ar Komisijas regulas Nr. 651/2014 38. pantu, nepiešķir ieguldījumiem, kas norādīti Komisijas regulas Nr. 651/2014 1. panta 6. punktā, 38. panta 2., 2.a un 2.b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Attiecināmajām izmaksām atbilstoši Komisijas regulas Nr. 651/2014 38. panta 4. un 5. punktam kopējā atbalsta intensitāte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61.</w:t>
            </w:r>
            <w:r w:rsidR="00000000" w:rsidRPr="00000000" w:rsidDel="00000000">
              <w:rPr>
                <w:vertAlign w:val="superscript"/>
                <w:rtl w:val="0"/>
              </w:rPr>
              <w:t xml:space="preserve">3</w:t>
            </w:r>
            <w:r w:rsidR="00000000" w:rsidRPr="00000000" w:rsidDel="00000000">
              <w:rPr>
                <w:rtl w:val="0"/>
              </w:rPr>
              <w:t xml:space="preserve">punktā noteikto, ka atbalsts tiek sniegts saskaņā ar Komisijas regulas Nr. 651/2014 38. panta 8.punktu, lūdzam noteikumu 61.</w:t>
            </w:r>
            <w:r w:rsidR="00000000" w:rsidRPr="00000000" w:rsidDel="00000000">
              <w:rPr>
                <w:vertAlign w:val="superscript"/>
                <w:rtl w:val="0"/>
              </w:rPr>
              <w:t xml:space="preserve">7</w:t>
            </w:r>
            <w:r w:rsidR="00000000" w:rsidRPr="00000000" w:rsidDel="00000000">
              <w:rPr>
                <w:rtl w:val="0"/>
              </w:rPr>
              <w:t xml:space="preserve"> punktā noteikt korektas atbalsta intensitātes atbilstoši Komisijas regulas Nr. 651/2014 38. panta 8.punktā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gan šajā punktā, gan arī 61.</w:t>
            </w:r>
            <w:r w:rsidR="00000000" w:rsidRPr="00000000" w:rsidDel="00000000">
              <w:rPr>
                <w:vertAlign w:val="superscript"/>
                <w:rtl w:val="0"/>
              </w:rPr>
              <w:t xml:space="preserve">3</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8</w:t>
            </w:r>
            <w:r w:rsidR="00000000" w:rsidRPr="00000000" w:rsidDel="00000000">
              <w:rPr>
                <w:rtl w:val="0"/>
              </w:rPr>
              <w:t xml:space="preserve"> Attiecināmajām izmaksām atbilstoši Komisijas regulas Nr. 651/2014 38. panta 4., 5. un 6. punktam kopējā atbalsta intensitāte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noteikumu projekta un tā anotācijas nav gūstama pārliecība par noteikumu projekta saderību ar tiesiskās paļāvības principu. Tādēļ lūdzam noteikumu projekta anotācijā skaidrāk norādīt grozījumu ietekmi uz personām, kuras iesniegušas atbalsta pieteikumus, un personām, kurām atbalsts jau piešķirts, proti, norādīt, kā paredzētie grozījumi  ietekmēs minētās personas (vai tām pasliktināsies tiesiski iegūtais stāvoklis), tai skaitā, vai atbalstu saņēmušās personas ir informētas par iespējamiem grozījumiem un tās brīvprātīgi piekritušas šādiem grozījumiem.  Uzsveram, ja minētie grozījumi negatīvi un bez būtiska pamatojuma ietekmēs minēto personu jau iegūtās tiesības, Tieslietu ministrija</w:t>
            </w:r>
            <w:r w:rsidR="00000000" w:rsidRPr="00000000" w:rsidDel="00000000">
              <w:rPr>
                <w:b w:val="1"/>
                <w:rtl w:val="0"/>
              </w:rPr>
              <w:t xml:space="preserve"> nevar atbalstīt noteikumu projekta tālāku virzību</w:t>
            </w:r>
            <w:r w:rsidR="00000000" w:rsidRPr="00000000" w:rsidDel="00000000">
              <w:rPr>
                <w:rtl w:val="0"/>
              </w:rPr>
              <w:t xml:space="preserve">, ciktāl tajā ietvertas normas, kuras neatbilst tiesiskās paļāvības principam (aizskar atbalsta saņēmēju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ir papildināts ar skaidrojumu, ka saskaņā ar Komisijas regulas Nr. 651/2014 41. pantu atbalstu nepiešķir, ja iekārtas atbalsta pieprasīšanas brīdī jau tiek ekspluatētas. Šāda prasība visu laiku ir bijusi spēkā un ir tikusi piemērota, jo izriet no Komisijas regulas Nr. 651/2014 vispārējiem nosacījumiem, ka šī regula ir piemērojama tikai tādam atbalstam, kam ir stimulējoša ietekme - to nosaka regulas 6.pants. Ņemot vērā praktisko piemērošanas pieredzi ir lietderīgi MK noteikumu Nr.594 64.1 atrunāt kādā veidā šis stimulējošās ietekmes nosacījums tiek piemērots projektiem (atbalstu nepiešķir, ja iekārtas atbalsta pieprasīšanas brīdī jau tiek ekspluatētas).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44. punktā izteiktā 64.</w:t>
            </w:r>
            <w:r w:rsidR="00000000" w:rsidRPr="00000000" w:rsidDel="00000000">
              <w:rPr>
                <w:vertAlign w:val="superscript"/>
                <w:rtl w:val="0"/>
              </w:rPr>
              <w:t xml:space="preserve">1</w:t>
            </w:r>
            <w:r w:rsidR="00000000" w:rsidRPr="00000000" w:rsidDel="00000000">
              <w:rPr>
                <w:rtl w:val="0"/>
              </w:rPr>
              <w:t xml:space="preserve"> punkta būtību, kā arī atbilstību Komisijas regulas Nr. 651/2014 41. pantam. Vēršam uzmanību, pirmkārt, ka minētās regulas 41. panta 5. punktu "Ieguldījumu atbalstu piešķir jaunuzstādītām vai atjaunotām jaudām. Atbalsta summa nav atkarīga no izlaides."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projekta 44. punktā paredzētā regulējuma skaidri neizriet, vai komersants, kas uzsācis iekārtas ekspluatāciju, nedrīkst pieteikties atbalstam, vai arī atbalsta piešķiršanu pārtrauc pēc iekārtas ekspluatācijas uzsākšanas, vai arī normai ir vēl kāds citāds tvērums attiecībā uz atbalsta piešķiršanas vai pārtraukšanas brīdi. Lūdzam normas mērķi, ja nepieciešams, saistībā ar noteikumu 64. punktā paredzētajiem grozījumiem, skaidrot projekta anotācijā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 projekta anotācijas nav secināms, vai ir vērtēta šāda regulējuma ietekme uz jau piešķirto atbalstu vai jau iesniegtiem atbalsta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normas būtība ir ierobežot atbalstu ar atpakaļejošu datumu - nepiešķirt atbalstu tad, ja iekārtas jau tiek ekspluatētas. Tādējādi nosakot atbalsta sākuma datumu un veidojot juridisku skaidrību, ka netiek izmaksāts atbalsts par agrāk iegādātām iekārtām.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aicinām ņemt vērā Tieslietu ministrijas Valsts sekretāra vietnieces tiesību politikas jautājumos priekšlikumu, proti, Ministru kabineta sēdes protokolā iekļaut uzdevumu Finanšu ministrijai sadarbībā ar nozaru ministrijām izvērtēt esošā tiesiskā regulējuma par Eiropas Savienības fondu, tai skaitā Atveseļošanas un noturības mehānisma plāna, īstenošanas un uzraudzības kārtību pilnveides nepieciešamību, tai skaitā nepieciešamību noteikt likumā vienotus atbalsta saņēmēju izslēgšanas kritērijus, un informēt Ministru kabinetu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Valsts sekretāre vietnieces 2024.gada 10.janvāra elektroniskā pasta vēstulē, kas pievienota arī TAP portālā norādītām: "</w:t>
            </w:r>
            <w:r w:rsidR="00000000" w:rsidRPr="00000000" w:rsidDel="00000000">
              <w:rPr>
                <w:b w:val="1"/>
                <w:rtl w:val="0"/>
              </w:rPr>
              <w:t xml:space="preserve">Tieslietu ministrija ņem vērā diskusijā ar Ekonomikas ministriju un Finanšu ministriju izteiktos argumentus, it īpaši Finanšu ministrijas norādīto, ka šobrīd jau apstiprināti apmēram puse ANM investīciju regulējošo Ministru kabineta noteikumu un uzsākta attiecīgo investīciju īstenošana, tādejādi atlikušajā ANM īstenošanas</w:t>
            </w:r>
            <w:r w:rsidR="00000000" w:rsidRPr="00000000" w:rsidDel="00000000">
              <w:rPr>
                <w:b w:val="1"/>
                <w:rtl w:val="0"/>
              </w:rPr>
              <w:t xml:space="preserve">periodā ANM tiesiskā regulējuma sistēmiska pilnveidošana un izmaiņas tajā ir nelietderīgas un kavēs ANM finansējuma pieejamību.</w:t>
            </w:r>
            <w:r w:rsidR="00000000" w:rsidRPr="00000000" w:rsidDel="00000000">
              <w:rPr>
                <w:rtl w:val="0"/>
              </w:rPr>
              <w:t xml:space="preserve">" norādām, ka priekšlikumā nav saskatāms lietderības apsvērums.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2023, 94.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vērš ministrijas uzmanību uz to, ka uzņēmumi labprāt ieguldītu efektīgās siltuma atgūšanas iekārtās, taču bez valsts atbalsta šādu siltuma atgūšanas iekārtu uzstādīšana ir pārāk dārga un uzņēmumiem ekonomiski neizdevīga. Atbalsta programmas nosacījumi teorētiski ļauj uzstādīt siltuma atgūšanas iekārtas, taču praktiski to uzstādīšanai nav iespējams piesaistīt atbalsta programmas līdzfinansējumu, jo nav iespējams sasniegts primārās enerģijas ietaupījumu vismaz 30 % apmērā. Piemēram, ja tiek izveidota siltumatgūšanas iekārta, tad risinājuma rezultātā radītais ietaupījums pierādāms kādā no ražošanas procesiem, piemēram, izejmateriāla kaltēšanas procesā. Radītais ietaupījums pierādāms nevis gada griezumā, bet konkrētā laika periodā, kad siltumatgūšanas iekārta tiek intensīvi lietota, jo ir paredzēta lietot konkrētos laikapstākļos, piemēram, dūmgāzu kondensātors efektīvi strādā ziemas laikapstākļos, jo tad notiek attiecīgie fizikālie procesi (Dūmgāzēs ir attiecīgais mitrums un āra gaisam attiecīgā temperatūra).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nepieciešams papildināt MK noteikumu Nr.594 redakciju ar nosacījumu, kas papildinātu MK noteikumu 61.1.punktu: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siltumatgūšanas iekārtas, kur atgūto siltumu izmanto ēkas apkures vai ražošanas procesos un tiek sasniegts primārās enerģijas ietaupījums vismaz 30 % apmērā no patērētās enerģijas konkrētā ēkā vai konkrētā ražošanas procesā, nerēķinot ietaupījumu uz visu ražošanas procesu siltumatgūšanas iekārtas efektīvās darbības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veikt piedāvātos grozījumus MK noteikumos, jo MK noteikumu 1.pielikuma sadaļā "II. SPECIFISKIE KRITĒRIJI" -&gt; "1. ENERGOEFEKTIVITĀTES PAAUGSTINĀŠANA" jau ir noteikts, ka "enerģijas ietaupījums tiek noteikts [...] energoefektivitātes paaugstināšanas pasākumiem ražošanas un tehnoloģiskajā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2023, 94.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2023, 94.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- 13.02.2024.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precizēto noteikumu projektu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(23-TA-2246).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cita starpā paredz izteikt jaunā redakcijā komersanta izslēgšanas kritērijus, kas ir cieši saistīti ar administratīvās atbildības un citu krimināltiesiska rakstura sankciju piemērošanu komersantam vai ar to saistītām personām. Savukārt Eiropas Savienības fondu 2021. - 2027. gada plānošanas perioda vadības likuma 22. panta otrā daļa paredz sadarbības iestādes pienākumu neizslēgt projekta iesniedzēju no dalības projektu iesniegumu atlasē, ja ir pagājuši attiecīgi trīs gadi vai 12 mēneši no dienas, kad kļuvis neapstrīdams un nepārsūdzams kāds no katrā punktā norādītajiem kompetentās institūcijas nolēmumiem par sodu piemērošanu komersantam vai ar to saistītām personām. LTRK ieskatā šobrīd ir pamats uzskatīt, ka noteiktie atbalsta saņemšanas ierobežojumu termiņi būs piemērojami arī paredzētā atbalsta piešķiršanas procesā. Proti, līdzīgus noteikumus bija plānots pieņemt arī iepriekšējās noteikumu projekta redakcijās. Savukārt šobrīd noteikumu projekta anotācijā norādīts: “(..) ierobežojuma termiņ[i] tiks piemēroti atbilstoši identiskai praksei, kāda [izriet] no Eiropas Savienības fondu 2021.-2027.gada plānošanas perioda vadības likuma.” Minētais nozīmē, ka komersants nebūs tiesīgs saņemt atbalstu trīs gadus no dienas, kad tā valdes loceklim tika piemērots administratīvais sods, piemēram,  par personas nodarbināšanu, ja tai nav nepieciešamās darba atļaujas vai citu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noteikumu projekts neparedz ieviest regulējumu, kas paredzētu akciju sabiedrības “Attīstības finanšu institūcija Altum” pienākumu nenoraidīt aizdevuma vai garantijas pieteikumu, ja pagājis noteikts laika periods no administratīvās atbildības piemērošanas komersantam vai ar to saistītām personām. Turklāt tas ir pretēji arī citiem noteikumu projektiem, piemēram, noteikumu projekts Nr. 23-TA-3117, kas tieši ir pārņemts no Eiropas Savienības fondu 2021. - 2027. gada plānošanas perioda vadības likuma 22. panta otrās daļas. Tā kā Eiropas Savienības fondu 2021. - 2027. gada plānošanas perioda vadības likums nav piemērojams paredzētā atbalsta piešķiršanas gaitā, tad noteikumu projekta pašreizējā redakcija būs neskaidra un pat komersantu tiesības un intereses būtiski ierobežojoša (atņemot iespēju komersantam saņemt aizdevumu vai garantiju, ja ir pagājuši vairāk nekā trīs gadi no administratīvās atbildības piemērošanas komersantam vai ar to 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atbalsta saņemšanas ierobežojumu termiņu sistēmisku atbilstību administratīvās atbildības regulējumam, LTRK ieskatā nav pieļaujams tos noteikt pēc Eiropas Savienības fondu 2021. - 2027. gada plānošanas perioda vadības likuma 22. panta otrās daļas. Atbalsta saņemšanas ierobežojumu termiņi ir nosakāmi, pārbaudot, vai uz atbalsta piešķiršanas brīdi komersantam vai saistītai personai ir administratīvā sodāmība. Proti, Administratīvās atbildības likums noteic, ka administratīvā sodāmība ir administratīvo pārkāpumu izdarījušas personas soda piemērošanas administratīvi tiesiskās sekas, kas ir spēkā nolēmuma par sodu izpildes laikā, kā arī pēc tam līdz administratīvās sodāmības dzēšanai. Persona savukārt ir uzskatāma par administratīvi nesodītu gadu pēc soda izpildes, skaitot minēto termiņu no dienas, kad pilnībā izpildīts pamatsods un papildsods. Tādējādi administratīvā sodāmība ir tiesiskās sekas, kas iestājas saistībā ar administratīvā pārkāpuma izdarīšanu un kuras ir spēkā soda izpildes laikā un gadu pēc soda izpildes. Līdz ar administratīvās sodāmības dzēšanu tiek anulētas visas izdarītā administratīvā pārkāpuma tiesiskās sekas. No minētā izriet, ka ar administratīvās sodāmības dzēšanas mirkli komersantam arī vajadzētu būt iespējai bez nekādiem ierobežojumiem kandidēt uz paredzēto atbalstu, kas nozīmē, ka ar noteikumu projektu ir nepieciešams ieviest tādu regulējumu, kas sasaista atbalsta piešķiršanas ierobežojumu termiņus ar administratīvās sodāmības esamību vai neesamību komersantam vai 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nenoraida aizdevuma vai garantijas pieteikumu, ja uz komersantu ir attiecināms kāds no šo noteikumu 27.6.2. vai 27.6.4. apakšpunktā minētajiem gadījumiem, bet administratīvā sodāmība par attiecīgo pārkāpumu (attiecīgajiem pārkāpumiem) ir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izvērtēt iespēju palielināt programmas atbalsta intensitāti no 30% uz 40%, lai pretendentiem būtu papildus stimuls un motivācija veikt šos ilgtermiņa ieguldījumus savā konkurētspējas paaugstināšanā. Kaut arī pat ar šādam izmaiņām LTRK ieskatā nav gaidāms būtisks pieteikto projektu īpatsvara pieteikums, kā rezultātā tiktu pārsniegti programmai atvēlēto līdzekļu apjoms, atbalsta intensitāti vienmēr var operatīvi samazināt vai pārdalīt līdzekļus no citām programmām, kur atbalsta instrumentu īstenošana nav tik veiksmīga.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pretēji LTRK norādītajam: "</w:t>
            </w:r>
            <w:r w:rsidR="00000000" w:rsidRPr="00000000" w:rsidDel="00000000">
              <w:rPr>
                <w:i w:val="1"/>
                <w:rtl w:val="0"/>
              </w:rPr>
              <w:t xml:space="preserve">LTRK ieskatā noteikumu projekts neparedz ieviest regulējumu, kas paredzētu akciju sabiedrības “Attīstības finanšu institūcija Altum” pienākumu nenoraidīt aizdevuma vai garantijas pieteikumu, ja pagājis noteikts laika periods no administratīvās atbildības piemērošanas komersantam vai ar to saistītām personām</w:t>
            </w:r>
            <w:r w:rsidR="00000000" w:rsidRPr="00000000" w:rsidDel="00000000">
              <w:rPr>
                <w:rtl w:val="0"/>
              </w:rPr>
              <w:t xml:space="preserve">." Noteikumu projekts paredz šādu regulējumu, kas ietver Attīstības finanšu institūcijas Altum pienākumu nenoraidīt atbalsta pieteikumu, ja no konkrētā pārkāpuma ir pagājis noteikts laika periods, proti, MK noteikumu grozījumu 11.punkts, ar ko paredz papildināt MK noteikumus ar 27.</w:t>
            </w:r>
            <w:r w:rsidR="00000000" w:rsidRPr="00000000" w:rsidDel="00000000">
              <w:rPr>
                <w:vertAlign w:val="superscript"/>
                <w:rtl w:val="0"/>
              </w:rPr>
              <w:t xml:space="preserve">1</w:t>
            </w:r>
            <w:r w:rsidR="00000000" w:rsidRPr="00000000" w:rsidDel="00000000">
              <w:rPr>
                <w:rtl w:val="0"/>
              </w:rPr>
              <w:t xml:space="preserve"> punktu 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w:t>
            </w:r>
            <w:r w:rsidR="00000000" w:rsidRPr="00000000" w:rsidDel="00000000">
              <w:rPr>
                <w:i w:val="1"/>
                <w:vertAlign w:val="superscript"/>
                <w:rtl w:val="0"/>
              </w:rPr>
              <w:t xml:space="preserve">1</w:t>
            </w:r>
            <w:r w:rsidR="00000000" w:rsidRPr="00000000" w:rsidDel="00000000">
              <w:rPr>
                <w:i w:val="1"/>
                <w:rtl w:val="0"/>
              </w:rPr>
              <w:t xml:space="preserve"> Sabiedrība "Altum" nenoraida komersanta atbalsta pieteikumu, ja no dienas, kad kļuvis neapstrīdams un nepārsūdzams:</w:t>
            </w:r>
            <w:r w:rsidR="00000000" w:rsidRPr="00000000" w:rsidDel="00000000">
              <w:rPr>
                <w:i w:val="1"/>
                <w:rtl w:val="0"/>
              </w:rPr>
              <w:t xml:space="preserve">27.</w:t>
            </w:r>
            <w:r w:rsidR="00000000" w:rsidRPr="00000000" w:rsidDel="00000000">
              <w:rPr>
                <w:i w:val="1"/>
                <w:vertAlign w:val="superscript"/>
                <w:rtl w:val="0"/>
              </w:rPr>
              <w:t xml:space="preserve">1</w:t>
            </w:r>
            <w:r w:rsidR="00000000" w:rsidRPr="00000000" w:rsidDel="00000000">
              <w:rPr>
                <w:i w:val="1"/>
                <w:rtl w:val="0"/>
              </w:rPr>
              <w:t xml:space="preserve">1.  tiesas spriedums, prokurora priekšraksts par sodu vai citas kompetentas institūcijas pieņemtais lēmums saistībā ar šo noteikumu 27.6.1. vai 27.6.2.1. apakšpunktā minētajiem pārkāpumiem, līdz atbalsta pieteikuma iesniegšanas dienai ir pagājuši trīs gadi;</w:t>
            </w:r>
            <w:r w:rsidR="00000000" w:rsidRPr="00000000" w:rsidDel="00000000">
              <w:rPr>
                <w:i w:val="1"/>
                <w:rtl w:val="0"/>
              </w:rPr>
              <w:t xml:space="preserve">27.</w:t>
            </w:r>
            <w:r w:rsidR="00000000" w:rsidRPr="00000000" w:rsidDel="00000000">
              <w:rPr>
                <w:i w:val="1"/>
                <w:vertAlign w:val="superscript"/>
                <w:rtl w:val="0"/>
              </w:rPr>
              <w:t xml:space="preserve">1</w:t>
            </w:r>
            <w:r w:rsidR="00000000" w:rsidRPr="00000000" w:rsidDel="00000000">
              <w:rPr>
                <w:i w:val="1"/>
                <w:rtl w:val="0"/>
              </w:rPr>
              <w:t xml:space="preserve">2.  tiesas spriedums vai citas attiecīgā jomā kompetentas institūcijas pieņemtais lēmums saistībā ar šo noteikumu 27.6.2.2. vai 27.6.3. apakšpunktā minētajiem pārkāpumiem, līdz atbalsta pieteikuma iesniegšanas dienai ir pagājuši 12 mēneši.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Eiropas Komisija, piešķirot ANM finansējumu ir vienojusies ar Latvijas Republiku kā finansējuma saņēmēju par ANM finansējuma izlietojuma principiem, tai skaitā,par izslēgšanas kritēriju praksi atbilstoši Eiropas Savienības struktūrfondu regulējumam. Attiecīgi ANM un ES struktūrfondu finansējums nevar tikt piešķirts pretēji Eiropas Komisijas un Latvijas Republikas kā finansējuma saņēmēja vienošanās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2023, 94.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noteikumu grozījumos vairs nav ietverta norma, kas nosaka, ka  nepieciešams vispirms vērsties pie cita finansētāja finansējuma saņemšanai un saņemt atteikumu aizdevuma piešķiršanai, ja komersants vēlas saņemt atbalstu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 projektu pieteiks ALTUM, to finansēs ALTUM. Turklāt, citi iespējamie finansētāji nebūs informēti par projekta pieprasījumu un iespēju to finansēt.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anotācijā kā pamatojumu atteikuma nesaņemšanai norāda Ministru Kabineta Izaugsmes, konkurētspējas un produktivitātes (IKP) tematiskās komitejas 2023.gada 17. augusta sēdes lēmumu. Diemžēl, ne pašā noteikumu projektā, ne to anotācijā nav ietverta informācija par minētās komitejas pilnvarām (mandātu), kā arī to, vai šīs komitejas lēmumi ir ārēji saistoši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procesa caurskatāmību, lūdzam finansēšanas kārtības izmaiņas, kas nosaka, ka nevajag vērsties pie cita finansētāja finansējuma saņemšanai un saņemt atteikumu aizdevuma piešķiršanai ALTUM, iekļaut ministru kabineta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nav norādīts, cik no 243 projektiem šobrīd ir finansēti ar banku (citu privātu) finansējumu, kā arī, cik ir finansējis ALTUM. Lūdzam rast iespēju šo informāciju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investīciju ieviešanas posmā “pieteikums dalībai programmā” netiek fiksēta potenciālā projekta informācija attiecībā uz komercbankas piesaisti, kā arī šajā posmā nav nepieciešams bankas atteikums, jo pieteikums tiek vērtēts tikai saskaņā ar Ministru kabineta noteikumu 1.pielikumu. Bankas atteikums ir nepieciešams tajā investīciju ieviešanas posmā, kad komersants iesniedz aizdevuma pieteikumu Altum. Atbilstoši Altum sniegtai informācijai  par projektiem, par kuru īstenošanu noslēgts aizdevuma līgums - Kopējais projektu skaits – 89; Projektu skaits, kuru finansēšanā piesaistīts bankas aizdevums – 16. Iepriekš minētā informācija ir ietverta arī Ministru kabineta noteikumu projekta anotācijā. Vienlaikus norādām, ka vadoties no juridiskās tehnikas viedokļa, ministru kabineta noteikumu tekstā nebūtu ietverami tādi nosacījumi, kurus potenciālajam finansējuma saņēmējam nav jāpilda vai kas uz to nav attiecināmi.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programmā būtu nepieciešami aptuveni 10 milj. euro, lai nodrošinātu finansējumu aizdevumu daļai, kuru nesedz kapitāla atlaide un MK noteikumu Nr.594 10.5.apakšpunktā noteiktais finansējums nebūs pietiekams. Ņemot vērā minēto, lūdzam skaidrot, kāds ir finansēšanas avots norādītajiem izdevumiem 10 milj. euro apmērā un kāds ir piedāvātais risinājums MK noteikumu Nr.594 10.5.apakšpunktā šobrīd paredzētā finansējuma palielinājumam, nepieciešamības gadījumā precizējot vai svītrojot anotācijā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Finanšu ministrijas norādei, ka anotācijā ietvertai skaidrojums nav viennozīmīgi izprotams. Ņemot vērā, ka finansējuma sadalījums ir paredzēts MK noteikumu 10.5. apakšpunktā, Ekonomikas ministrija dzēš anotācijā ietverto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noteikumu projekta spēkā stāšanās tika sagatavots paziņojums SANI2 sistēmā par valsts atbalsta shēmu". Lūdzam redakcionāli precizēt tekstu, norādot, ka Ekonomikas ministrija 20 darba dienu laiku pēc noteikumu projekta spēkā stāšanās sagatavos kopsavilkuma informāciju un izmantojot SANI2 sistēmu iesniegs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FM komentāram.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apliecinājumu,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apliecinājumu, ka noteikumu projektā ietvertie grozījumi neietekmē apstiprināto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noteikumu projektā ietvertie grozījumi neietekmē apstiprināto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pieejamā finansējuma izlietošanas sabiedrība "Altum", izmantojot atbalsta programmas ietvaros atmaksāto finansējumu (klientu maksājumus no aizdevumiem un komisijas maksas par garantijām), kā arī garantiju kompensāciju izmaksām neizmantoto 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 finansējumu,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par precīzu atmaksu apmēru un nepieteikto garantiju kompensāciju apmēru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iepazinusies ar FM priekšlikumu un skaidro, ka nav iespējams noteikt precīzus atmaksu apmērus, kā arī nepieteikto garantiju kompensāciju apmēru. Atmaksu apmērs un nepieteikto garantiju kompensāciju apmērs dinamiski mainās programmas ieviešanas laikā, līdz ar to nav iespējams precīzi noteikt šos apmērus, kamēr programmas īstenošana nav noslēgusies.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pieejamā finansējuma izlietošanas sabiedrība "Altum", izmantojot atbalsta programmas ietvaros atmaksāto finansējumu (klientu maksājumus no aizdevumiem un komisijas maksas par garantijām), kā arī garantiju kompensāciju izmaksām neizmantoto 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 finansējumu, var: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precizēto noteikumu projektu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(23-TA-2246).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cita starpā paredz izteikt jaunā redakcijā komersanta izslēgšanas kritērijus, kas ir cieši saistīti ar administratīvās atbildības un citu krimināltiesiska rakstura sankciju piemērošanu komersantam vai ar to saistītām personām. Savukārt Eiropas Savienības fondu 2021. - 2027. gada plānošanas perioda vadības likuma 22. panta otrā daļa paredz sadarbības iestādes pienākumu neizslēgt projekta iesniedzēju no dalības projektu iesniegumu atlasē, ja ir pagājuši attiecīgi trīs gadi vai 12 mēneši no dienas, kad kļuvis neapstrīdams un nepārsūdzams kāds no katrā punktā norādītajiem kompetentās institūcijas nolēmumiem par sodu piemērošanu komersantam vai ar to saistītām personām. LTRK ieskatā šobrīd ir pamats uzskatīt, ka noteiktie atbalsta saņemšanas ierobežojumu termiņi būs piemērojami arī paredzētā atbalsta piešķiršanas procesā. Proti, līdzīgus noteikumus bija plānots pieņemt arī iepriekšējās noteikumu projekta redakcijās. Savukārt šobrīd noteikumu projekta anotācijā norādīts: “(..) ierobežojuma termiņ[i] tiks piemēroti atbilstoši identiskai praksei, kāda [izriet] no Eiropas Savienības fondu 2021.-2027.gada plānošanas perioda vadības likuma.” Minētais nozīmē, ka komersants nebūs tiesīgs saņemt atbalstu trīs gadus no dienas, kad tā valdes loceklim tika piemērots administratīvais sods, piemēram,  par personas nodarbināšanu, ja tai nav nepieciešamās darba atļaujas vai citu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noteikumu projekts neparedz ieviest regulējumu, kas paredzētu akciju sabiedrības “Attīstības finanšu institūcija Altum” pienākumu nenoraidīt aizdevuma vai garantijas pieteikumu, ja pagājis noteikts laika periods no administratīvās atbildības piemērošanas komersantam vai ar to saistītām personām. Turklāt tas ir pretēji arī citiem noteikumu projektiem, piemēram, noteikumu projekts Nr. 23-TA-3117, kas tieši ir pārņemts no Eiropas Savienības fondu 2021. - 2027. gada plānošanas perioda vadības likuma 22. panta otrās daļas. Tā kā Eiropas Savienības fondu 2021. - 2027. gada plānošanas perioda vadības likums nav piemērojams paredzētā atbalsta piešķiršanas gaitā, tad noteikumu projekta pašreizējā redakcija būs neskaidra un pat komersantu tiesības un intereses būtiski ierobežojoša (atņemot iespēju komersantam saņemt aizdevumu vai garantiju, ja ir pagājuši vairāk nekā trīs gadi no administratīvās atbildības piemērošanas komersantam vai ar to 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atbalsta saņemšanas ierobežojumu termiņu sistēmisku atbilstību administratīvās atbildības regulējumam, LTRK ieskatā nav pieļaujams tos noteikt pēc Eiropas Savienības fondu 2021. - 2027. gada plānošanas perioda vadības likuma 22. panta otrās daļas. Atbalsta saņemšanas ierobežojumu termiņi ir nosakāmi, pārbaudot, vai uz atbalsta piešķiršanas brīdi komersantam vai saistītai personai ir administratīvā sodāmība. Proti, Administratīvās atbildības likums noteic, ka administratīvā sodāmība ir administratīvo pārkāpumu izdarījušas personas soda piemērošanas administratīvi tiesiskās sekas, kas ir spēkā nolēmuma par sodu izpildes laikā, kā arī pēc tam līdz administratīvās sodāmības dzēšanai. Persona savukārt ir uzskatāma par administratīvi nesodītu gadu pēc soda izpildes, skaitot minēto termiņu no dienas, kad pilnībā izpildīts pamatsods un papildsods. Tādējādi administratīvā sodāmība ir tiesiskās sekas, kas iestājas saistībā ar administratīvā pārkāpuma izdarīšanu un kuras ir spēkā soda izpildes laikā un gadu pēc soda izpildes. Līdz ar administratīvās sodāmības dzēšanu tiek anulētas visas izdarītā administratīvā pārkāpuma tiesiskās sekas. No minētā izriet, ka ar administratīvās sodāmības dzēšanas mirkli komersantam arī vajadzētu būt iespējai bez nekādiem ierobežojumiem kandidēt uz paredzēto atbalstu, kas nozīmē, ka ar noteikumu projektu ir nepieciešams ieviest tādu regulējumu, kas sasaista atbalsta piešķiršanas ierobežojumu termiņus ar administratīvās sodāmības esamību vai neesamību komersantam vai 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nenoraida aizdevuma vai garantijas pieteikumu, ja uz komersantu ir attiecināms kāds no šo noteikumu 27.6.2. vai 27.6.4. apakšpunktā minētajiem gadījumiem, bet administratīvā sodāmība par attiecīgo pārkāpumu (attiecīgajiem pārkāpumiem)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Finanšu ministriju ir sniegusi LTRK skaidrojumu par Atjaunošanas un noturības mehānismā ietverto izslēgšanas kritēriju būtību, vienlaikus norādīt, ka minēto izslēgšans kritēriju ierobežojošais termiņš ir jāskata kontekstā ar Eiropas Komisijas uzstādījumiem Eiropas Savienības finansējuma piešķiršanai. Papildus, Ekonomikas ministrija turpinās darbu ar LTRK pie Ministru kabineta noteikumos ietverto normu skaidrošanas un uzlabošanas.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 atbalsta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ar tādu attiecīgajā jomā kompetentas institūcijas lēmumu par sodu vai tiesas spriedumu, kas stājies spēkā un kļuvis nepārsūdzams, ir atzīts par vainīgu un sodīts par pārkāpumiem, kas izpaužas kā vienas vai vairāku personu nodarbināšana, ja tām nav nepieciešamās darba atļaujas vai ja tās nav tiesīgas uzturēties Eiropas Savienības dalībvalstī, vai kā personas nodarbināšana bez rakstveidā noslēgta darba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un noturības mehānisma ietvaros izslēgšanas nosacījumi tiek piemēroti analoģiski Eiropas Savienības fondiem, lūdzam izvērtēt iespēju apvienot noteikumu projekta  27.6.2. punktu ar 27.6.4. punktu, lai nodrošinātu atbilstību Eiropas Savienības fondu 2021.-2027. gada plānošanas perioda vadības likuma 22. panta pirmās daļas 2. punkta "b"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ar tādu attiecīgajā jomā kompetentas institūcijas lēmumu par sodu vai tiesas spriedumu, kas stājies spēkā un kļuvis nepārsūdzams,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 </w:t>
            </w:r>
            <w:r w:rsidR="00000000" w:rsidRPr="00000000" w:rsidDel="00000000">
              <w:rPr>
                <w:b w:val="1"/>
                <w:rtl w:val="0"/>
              </w:rPr>
              <w:t xml:space="preserve">nodokļu normatīvajos aktos noteiktajā termiņā neiesniedzot par šo personu informatīvo deklarāciju par darbiniekiem, kas iesniedzama par personām, kuras uzsāk darbu;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normas redakcija specifiski attiecībā uz informatīvo deklarāciju par darbinieku iekļaušanu ir tikusi skaņota atsevišķi ar Iekšlietu ministriju  un viņu tehniskajām iespējām Sodu reģistra ietvaros saņemt konkrēto informāciju, ņemot vērā viņu izteiktos specifiskos iebildumus par konkrētās normas interpretāciju (lūdzu skatīt IeM iebildumus noteikumu projekta skaņošanas ietvaros). Attiecīgi minētās tiesību normas izteiksmes veids ir izvēlēts kā kompromisa redakcija, lai nodrošinātu viennozmīgu tiesību normas interpretāciju. Papildus skaidrojam, ka tiesību norma ir izteikt identiski FM un TM iepriekš saskaņotai redakcijai, kas apstiprināta Ministru kabinetā (23-TA-3117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 komersants vai persona, kura ir komersanta valdes vai padomes loceklis vai prokūrists, vai persona, kura ir pilnvarota pārstāvēt komersantu ar filiāli saistītās darbībās, ar tādu attiecīgā jomā kompetentas institūcijas lēmumu, prokurora priekšrakstu par sodu vai tiesas spriedumu, kas stājies spēkā un kļuvis neapstrīdams un nepārsūdzams, ir atzīta par vainīgu un sodīta par pārkāpumu, kas izpaužas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27.6.5. komersants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apvienot noteikumu 27.6.5. apakšpunktu ar noteikumu projekta 27.6.2.2. apakšpunktu, nodrošinot atbilstību Eiropas Savienības fondu 2021.-2027. gada plānošanas perioda vadības likuma (turpmāk - vadības likums) 22. panta 1. daļas otrajam punktam. Vēršam uzmanību, ka vadības likumā ietvertais izslēgšanas kritērijs nosaka nosacījumus par informatīvās deklarācijas iesniegšanas pienākuma neizpildi attiecībā tieši uz to personu, ar kuru nav noslēgts rakstveida darba līgums, taču noteikumu projektā ietvertie precizējumi nosaka nosacījumus par informatīvās deklarācijas iesniegšanas pienākuma neizpildi attiecībā uz jebkuru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27.6.5. apakšpunkts pievienots 27.6.2.2.2.apakšpunktam.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atbalstam, ko piešķir saskaņā ar Komisijas regulas Nr. </w:t>
            </w:r>
            <w:r w:rsidR="00000000" w:rsidRPr="00000000" w:rsidDel="00000000">
              <w:rPr>
                <w:rtl w:val="0"/>
              </w:rPr>
              <w:t xml:space="preserve">651/2014</w:t>
            </w:r>
            <w:r w:rsidR="00000000" w:rsidRPr="00000000" w:rsidDel="00000000">
              <w:rPr>
                <w:rtl w:val="0"/>
              </w:rPr>
              <w:t xml:space="preserve"> 38., 38.a vai 41. pantu,​ – Komisijas regulas Nr.  </w:t>
            </w:r>
            <w:r w:rsidR="00000000" w:rsidRPr="00000000" w:rsidDel="00000000">
              <w:rPr>
                <w:rtl w:val="0"/>
              </w:rPr>
              <w:t xml:space="preserve">651/2014</w:t>
            </w:r>
            <w:r w:rsidR="00000000" w:rsidRPr="00000000" w:rsidDel="00000000">
              <w:rPr>
                <w:rtl w:val="0"/>
              </w:rPr>
              <w:t xml:space="preserve"> 1. panta 3. punktā noteiktajām nozarēm atbilstoši Komisijas regulas Nr.  </w:t>
            </w:r>
            <w:r w:rsidR="00000000" w:rsidRPr="00000000" w:rsidDel="00000000">
              <w:rPr>
                <w:rtl w:val="0"/>
              </w:rPr>
              <w:t xml:space="preserve">651/2014</w:t>
            </w:r>
            <w:r w:rsidR="00000000" w:rsidRPr="00000000" w:rsidDel="00000000">
              <w:rPr>
                <w:rtl w:val="0"/>
              </w:rPr>
              <w:t xml:space="preserve"> 2. panta 9.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ka Komisijas regulas Nr.  651/2014 1. panta 3. punktā noteiktās nozares nav aptvertas tikai ar Komisijas regulas Nr.  651/2014 2. panta 9. punktā noteikto "primārās lauksaimnieciskās ražošanas" definīciju, lūdzam pārskatīt un atbilstoši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komentāram.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atbalstam, ko piešķir saskaņā ar Komisijas regulas Nr. </w:t>
            </w:r>
            <w:r w:rsidR="00000000" w:rsidRPr="00000000" w:rsidDel="00000000">
              <w:rPr>
                <w:rtl w:val="0"/>
              </w:rPr>
              <w:t xml:space="preserve">651/2014</w:t>
            </w:r>
            <w:r w:rsidR="00000000" w:rsidRPr="00000000" w:rsidDel="00000000">
              <w:rPr>
                <w:rtl w:val="0"/>
              </w:rPr>
              <w:t xml:space="preserve"> 38., 38.a vai 41. pantu,​ – Komisijas regulas Nr.  </w:t>
            </w:r>
            <w:r w:rsidR="00000000" w:rsidRPr="00000000" w:rsidDel="00000000">
              <w:rPr>
                <w:rtl w:val="0"/>
              </w:rPr>
              <w:t xml:space="preserve">651/2014</w:t>
            </w:r>
            <w:r w:rsidR="00000000" w:rsidRPr="00000000" w:rsidDel="00000000">
              <w:rPr>
                <w:rtl w:val="0"/>
              </w:rPr>
              <w:t xml:space="preserve"> 1. panta 3. punktā noteiktajām nozarēm;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tiek pārkāptas šajos noteikumos noteiktās komercdarbības atbalsta kontroles normas, tostarp nosacījumi, kas izriet no Komisijas regulas Nr. 2023/2831, komersantam ir pienākums atmaksāt sabiedrībai "Altum"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nelikumīga atbalsta atgūšanu, lūdzam noteikumu 32.4.apakšpunktu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tiek pārkāpti Komisijas regulas Nr. 2023/2831 nosacījumi, komersantam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FM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tiek pārkāpti Komisijas regulas Nr. 2023/2831 nosacījumi, komersantam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nevienā trīs gadu periodā nepārsniedz 300 000 euro atbilstoši Komisijas regulas Nr. 2023/2831 3. panta 2. punktam, kā arī ievērojot Komisijas regulas Nr. 2023/2831 3. panta 8. punkta nosacījumus uzņēmumu apvienošanās vai iegādes gadījumā un Komisijas regulas Nr. 2023/2831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2023/2831 preambulas 11.apsvērums nosaka, ka "Trīs gadu laikposms šīs regulas vajadzībām būtu jāvērtē kā slīdošs periods. Attiecībā uz katru jaunu de minimis atbalsta piešķiršanu jāņem vērā de minimis atbalsta kopsumma, kas piešķirta iepriekšējos trīs gados.". Ņemot vērā minēto,  lūdzam izmantot Komisijas regulas Nr. 2023/2831 3. panta 2. punktā lietoto formulējumu, piemēram, nosakot, ka jāpārbauda, vai plānotais de minimis atbalsts kopā ar iepriekšējo trīs gadu periodā, skaitot no de minimis atbalsta piešķiršanas dienas, piešķirto de minimis atbalstu nepārsniedz Komisijas regulas Nr. 2023/2831 3. panta 2. punkta limitu. Vienlaikus lūdzam ar atbilstošu informāciju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FM priekšlikumam, vienlaikus skaidrojums sniegts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plānotais de minimis atbalsts kopā ar iepriekšējo trīs gadu periodā, skaitot no de minimis atbalsta piešķiršanas dienas, piešķirto de minimis atbalstu nepārsniedz Komisijas regulas Nr. 2023/2831 3. panta 2. punkta limitu, kā arī ievērojot Komisijas regulas Nr. 2023/2831 3. panta 8. punkta nosacījumus uzņēmumu apvienošanās vai iegādes gadījumā un Komisijas regulas Nr. 2023/2831 3. panta 9. punkta nosacījumus uzņēmuma sadalīšanas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53.7.3. energoefektīvas centralizētās siltumapgādes un/vai aukstumapgādes sistēmas un ar to saistītā aprīkojuma pieslēgšana;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53.7.3. apakšpunktā un nepieciešamības gadījumā cituviet simbolu un vārdus "un/vai" aizstāt ar saikli "un" vai saikli "vai", jo no attiecīgās normas nav skaidrs, vai ar simbolu un vārdiem "un/vai"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TM komentāram MK noteikumu 53.7.3. un 54.9.3.apakšpunktos.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53.7.3. energoefektīvas centralizētās siltumapgādes vai centralizētas aukstumapgādes sistēmas vai kombinētas centralizētās siltumapgādes un aukstumapgādes sistēmas un ar to saistītā aprīkojuma pieslēgšana;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Atbalstu, ko sniedz saskaņā ar Komisijas regulas Nr. 651/2014 38. pantu, nepiešķir ieguldījumiem, kas norādīti Komisijas regulas Nr. 651/2014 1. panta 6. punktā, 38. panta 2., 2.a un 2.b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12. punktā ietverto iebildumu, ņemot vērā sniegto izziņā ietverto skaidrojumu, tomēr aicinām pārskatīt noteikumu projektu un svītrot noteikumu projektā ietvertās atsauces, kas nav objektīvi nepieciešamas, jo vairākos gadījumos, kur noteikumu projektā ietvertas atsauces uz regulām, nepastāv šaubas par to, kuras no regulu normām ir piemērojamas uz attiecīgo atbalsta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 ir izvērtējusi TM priekšlikumu un secina, ka Komisijas regula Nr. 651/2014 ir apjomīga un satur lielu skaitu normu, ar kurām visām iepazīties projekta iesniedzējam nav samērīgi. Jāņem vērā, ka konkrētu projekta iesniedzēju var attiekties gan normas no regulas ievaddaļas (vispārējas normas), gan arī no sadaļas, kas attiecās uz konkrēto atbalsta veidu (speciālās normas). Jāņem vērā, ka vispārējās normas visas nav attiecināmas uz katru atbalsta veidu. Tāpēc ir lietderīgi pārskatāmības nolūkos sniegt koncentrētas atsaucas uz tām Komisijas regulas Nr. 651/2014 normām, kuras ir attiecināmas uz attiecīgajiem atbalsta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Atbalstu, ko sniedz saskaņā ar Komisijas regulas Nr. 651/2014 38. pantu, nepiešķir ieguldījumiem, kas norādīti Komisijas regulas Nr. 651/2014 1. panta 6. punktā, 38. panta 2., 2.a un 2.b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 punktā ietverto iebildumu lūdzam redakcionāli precizēt noteikumu projekta 47. punktā ietverto 64.</w:t>
            </w:r>
            <w:r w:rsidR="00000000" w:rsidRPr="00000000" w:rsidDel="00000000">
              <w:rPr>
                <w:vertAlign w:val="superscript"/>
                <w:rtl w:val="0"/>
              </w:rPr>
              <w:t xml:space="preserve">1</w:t>
            </w:r>
            <w:r w:rsidR="00000000" w:rsidRPr="00000000" w:rsidDel="00000000">
              <w:rPr>
                <w:rtl w:val="0"/>
              </w:rPr>
              <w:t xml:space="preserve"> punktu, attiecīgo normu formulējot, ņemot vērā izziņā sniegto minētās normas skaidrojumu, piemēram, “atbalstu nepiešķir, ja iekārtas atbalsta pieprasīšanas brīdī jau tiek ekspluatētas” vai tamlīdzīgi, vai arī šo skaidrojumu iekļaut anotācijā, vienlaikus norādot, ka frāze “ierobežot atbalstu ar atpakaļejošu datumu” nav korekta, jo Ministru kabineta noteikumiem atbilstoši Oficiālo publikāciju un tiesiskās informācijas likuma 9. panta ceturtajai daļai nevar būt atpakaļejošs spēks. Norādām, ka 64.</w:t>
            </w:r>
            <w:r w:rsidR="00000000" w:rsidRPr="00000000" w:rsidDel="00000000">
              <w:rPr>
                <w:vertAlign w:val="superscript"/>
                <w:rtl w:val="0"/>
              </w:rPr>
              <w:t xml:space="preserve">1</w:t>
            </w:r>
            <w:r w:rsidR="00000000" w:rsidRPr="00000000" w:rsidDel="00000000">
              <w:rPr>
                <w:rtl w:val="0"/>
              </w:rPr>
              <w:t xml:space="preserve"> punkts attiecas uz prasībām atbalsta piešķiršanai (ja iekārta jau tiek darbināta, atbalstu nepiešķir), nevis projekta īstenošanas nosacījumiem (atbalstu atgūst, ja iekārtu iedarbina).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anotācijas 1.3. sadaļā, ka saskaņā ar Komisijas regulas Nr. 651/2014 41. pantu atbalstu nepiešķir, ja iekārtas atbalsta pieprasīšanas brīdī jau tiek ekspluatētas.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Pēc iekārtas ekspluatācijas uzsākšanas atbalstu saskaņā ar Komisijas regulas Nr. 651/2014 41. pantu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citu atjaunīgo energoresursu izmantojošo elektroenerģijas vai siltumenerģijas tehnoloģiju iegāde un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anotācijā ar piemēriem, kas tiek domāts ar: </w:t>
            </w:r>
            <w:r w:rsidR="00000000" w:rsidRPr="00000000" w:rsidDel="00000000">
              <w:rPr>
                <w:i w:val="1"/>
                <w:rtl w:val="0"/>
              </w:rPr>
              <w:t xml:space="preserve">citu atjaunīgo energoresursu izmantojošo elektroenerģijas vai siltumenerģijas tehnoloģiju iegāde un uzstādīšana.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65.5.-65.7.apakšpunkti ir precizēti un papildināti ar atjaunīgo energoresursu izmantojošo elektroenerģijas vai siltumenerģijas tehnoloģiju uzskaitījumu.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 atjaunojamos energoresursus izmantojošu siltumenerģijas ražošanas avotu iegāde un uzstādīšana, tai skaitā siltumsūkņu (gaiss, ūdens, zeme) un cietās biomasas tehnoloģiju ieviešana (tai skaitā gaisu piesārņojošo vielu emisiju attīrīšanas iekārtu iegāde un uzstādīšana), ievērojot Komisijas regulas Nr.  651/2014 41. panta 2. un 3. punktā noteiktos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107.5. visus ar </w:t>
            </w:r>
            <w:r w:rsidR="00000000" w:rsidRPr="00000000" w:rsidDel="00000000">
              <w:rPr>
                <w:i w:val="1"/>
                <w:rtl w:val="0"/>
              </w:rPr>
              <w:t xml:space="preserve">de minimis </w:t>
            </w:r>
            <w:r w:rsidR="00000000" w:rsidRPr="00000000" w:rsidDel="00000000">
              <w:rPr>
                <w:rtl w:val="0"/>
              </w:rPr>
              <w:t xml:space="preserve">saistītos datus glabā 10 gadus no dienas, kad saskaņā ar šiem noteikumiem piešķirts pēdējais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atbalsts atbilstoši Komisijas regulas Nr. 2023/2831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2023/2831 6. panta 3. punkts viens pats nenosaka, ka "Dalībvalstis reģistrēto informāciju par de minimis atbalstu glabā 10 gadus no atbalsta piešķiršanas dienas", bet tas izriet arī no Komisijas regulas Nr. 2023/2831 6. panta 7. punkta, kas paredz,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 2023/2831 6. panta 1. punktā ietverot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atsauci uz Komisijas regulas Nr. 2023/2831 6. panta 3. punktu un atbilstību regulas punktiem atspoguļot anotācijā atbilstības izvērtējumā (V.sadaļa) vai arī alternatīvi papildināt punktu ar atsauci arī uz Komisijas regulas Nr. 2023/2831 6.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normas teksts papildināts ar atsauci uz Komisijas regulas Nr. 2023/2831 6. panta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107.5. visus ar </w:t>
            </w:r>
            <w:r w:rsidR="00000000" w:rsidRPr="00000000" w:rsidDel="00000000">
              <w:rPr>
                <w:i w:val="1"/>
                <w:rtl w:val="0"/>
              </w:rPr>
              <w:t xml:space="preserve">de minimis </w:t>
            </w:r>
            <w:r w:rsidR="00000000" w:rsidRPr="00000000" w:rsidDel="00000000">
              <w:rPr>
                <w:rtl w:val="0"/>
              </w:rPr>
              <w:t xml:space="preserve">saistītos datus glabā 10 gadus no dienas, kad saskaņā ar šiem noteikumiem piešķirts pēdējais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atbalsts atbilstoši Komisijas regulas Nr. 2023/2831 6. panta 3. un 7. punktam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Lēmumu par atbalsta piešķiršanu saskaņā ar Komisijas regulu Nr. 2023/2831 var pieņemt līdz Komisijas regulas Nr. 2023/2831 darbības beigām, bet ne vēlāk 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novēršot pretrunu, ņemot vērā to, ka Komisijas regulu Nr. 2023/2831 7.panta 3.punktā noteiktais termiņš ir 2031. gada 30. jūnijs, savukārt, normā paredzēts, ka lēmumus par komercdarbības atbalsta piešķiršanu var pieņemt ne vēlāk kā līdz 2025.gada 31.decembrim, no kā izriet, ka pēc 2025.gada 31.decembra komercdarbības atbalstu šo noteikumu ietvaros piešķirt nedrīkst.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priekšlikuma sniedzēju izrunāta, sniegta redakcionāli precizēta  tiesību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Lēmumu par atbalsta piešķiršanu, ievērojot Komisijas regulas Nr. 2023/2831  7.panta 3.punktā noteikto termiņu, var pieņemt līdz 2025.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23-TA-2246</w:t>
    </w:r>
    <w:r>
      <w:br/>
    </w:r>
    <w:r w:rsidR="00000000" w:rsidRPr="00000000" w:rsidDel="00000000">
      <w:rPr>
        <w:rtl w:val="0"/>
      </w:rPr>
      <w:t xml:space="preserve">14.02.2024. 14.57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23-TA-2246</w:t>
    </w:r>
    <w:r>
      <w:br/>
    </w:r>
    <w:r w:rsidR="00000000" w:rsidRPr="00000000" w:rsidDel="00000000">
      <w:rPr>
        <w:rtl w:val="0"/>
      </w:rPr>
      <w:t xml:space="preserve">14.02.2024. 14.57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Izziņa_23-TA-2246.docx</dc:title>
</cp:coreProperties>
</file>

<file path=docProps/custom.xml><?xml version="1.0" encoding="utf-8"?>
<Properties xmlns="http://schemas.openxmlformats.org/officeDocument/2006/custom-properties" xmlns:vt="http://schemas.openxmlformats.org/officeDocument/2006/docPropsVTypes"/>
</file>