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23-TA-1661: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Elektroenerģijas tirgus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 panta otrās daļas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aktīvais lietotājs - galalietotājs, kurš ražo elektroenerģiju savām vajadzībām un var saražotās elektroenerģijas pārpalikumu, kas veido ne vairāk kā 20% no lietotāja saražotās elektroenerģijas 12 mēnešu periodā, pārdot vai kopīgot, iesaistīties elastības pakalpojumos vai energoefektivitātes shēmās. Aktīvais lietotājs nav energoapgādes komersants;";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Likumprojektā noteikt Ministru kabinetam deleģējumu kārtībai, kā tiks piemērots minētais 20%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Regulators aicina Likumprojektā vai anotācijā precizēt, vai elektroenerģijas pārpalikums, kas veido ne vairāk kā 20% no lietotāja saražotās elektroenerģijas, attiecas vai neattiecas uz neto norēķinu un neto uzskaites sistēmu, ievērojot, ka neviena no neto sistēmām nav definēta kā “pārdot vai kopīgot, iesaistīties elastības pakalpojumos vai energoefektivitātes shēmās”, bet vienlaikus neto sistēmās var piedalīties aktīvais lietotājs.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arī norāda, ka aktīvā lietotāja saražoto elektroenerģiju kopīgojot, kopīgošanas rezultātā patērēto elektroenerģiju būtu jāieskaita kā savām vajadzībām patērēto, t.i., no šobrīd piedāvātās definīcijas izriet, ka kopīgot var ne vairāk kā 20% no aktīvā lietotāja saražotās elektroenerģijas. Šāda pieeja ir pretrunā Elektroenerģijas tirgus likuma 37.</w:t>
            </w:r>
            <w:r w:rsidR="00000000" w:rsidRPr="00000000" w:rsidDel="00000000">
              <w:rPr>
                <w:vertAlign w:val="superscript"/>
                <w:rtl w:val="0"/>
              </w:rPr>
              <w:t xml:space="preserve">6</w:t>
            </w:r>
            <w:r w:rsidR="00000000" w:rsidRPr="00000000" w:rsidDel="00000000">
              <w:rPr>
                <w:rtl w:val="0"/>
              </w:rPr>
              <w:t xml:space="preserve"> pantam, 37.</w:t>
            </w:r>
            <w:r w:rsidR="00000000" w:rsidRPr="00000000" w:rsidDel="00000000">
              <w:rPr>
                <w:vertAlign w:val="superscript"/>
                <w:rtl w:val="0"/>
              </w:rPr>
              <w:t xml:space="preserve">7</w:t>
            </w:r>
            <w:r w:rsidR="00000000" w:rsidRPr="00000000" w:rsidDel="00000000">
              <w:rPr>
                <w:rtl w:val="0"/>
              </w:rPr>
              <w:t xml:space="preserve"> pantam un Enerģētikas likuma 17.</w:t>
            </w:r>
            <w:r w:rsidR="00000000" w:rsidRPr="00000000" w:rsidDel="00000000">
              <w:rPr>
                <w:vertAlign w:val="superscript"/>
                <w:rtl w:val="0"/>
              </w:rPr>
              <w:t xml:space="preserve">1</w:t>
            </w:r>
            <w:r w:rsidR="00000000" w:rsidRPr="00000000" w:rsidDel="00000000">
              <w:rPr>
                <w:rtl w:val="0"/>
              </w:rPr>
              <w:t xml:space="preserve"> pantam, jo ierobežo iespēju elektroenerģiju kopā lietot energokopienā vai kopīgot ar citiem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Regulatoram nav saprotama anotācijā ietvertā norāde uz Eiropas Komisijas dokumentu, kurā atrunāti nosacījumi investīciju un darbības atbalsta nosacījumi enerģijas ražošanai no atjaunojamajiem energoresursiem – ja privātpersonas un organizācijas, kas neveic saimniecisko darbību, pašpatēriņam izmanto vismaz 80% no to iekārtās saražotās elektroenerģijas, investīcijas šādās iekārtās netiek uzskatītas par valsts atbalstu un līdz ar to uz tām netiek attiecināti komercdarbības valsts atbalsta ierobežojumi. Elektroenerģijas tirgus likuma mērķis nav noteikt valsts atbalsta nosacījumus, bez tam valsts atbalsts attiecas tikai uz tā saņēmējiem, savukārt Likumprojekts šo nosacījumu attiecina uz visiem aktīvajiem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teikts, ka aktīvais lietotājs var pārdot vai kopīgot ne vairāk kā 20% no saražotās enerģijas, kas novērš risku, ka aktīvā lietotāja statuss un tam izvirzāmās prasības un sniegtās priekšrocības varētu tikt izmantotas nereģistrētas un normatīvajiem aktiem neatbilstošas saimnieciskās darbības veikšanai, un radīt negatīvu ekonomisku un tiesisku stimulu komerciālai elektroenerģijas ražošanai un pārdošanai elektroenerģijas tirgū vai citiem lietotājiem. Regulators saskata lietderību procentuālā sliekšņa ieviešanai attiecībā uz elektroenerģijas pārdošanu, bet aicina detalizētāk izvērtēt procentuālā sliekšņa ieviešanu attiecībā uz elektroenerģijas kopīgošanu. Proti, vai nepastāv objektīvi apstākļi, kāpēc elektroenerģijas kopīgošanas proporcija var būt atšķirīga no proporcijas 80:20. Vienlaikus Regulators vērš uzmanību uz nepieciešamību atbildīgai ministrijai likumā paredzēt deleģējumu un sagatavot papildu regulējumu citos normatīvajos aktos, kas precizētu kārtību, kādā veidā piemēro minēto ierobežojumu (noteikt uzskaites kārtību, kontroles pienākumu, atbildību,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Aktīvā lietotāja saražotās elektroenerģijas pašpatēriņa aprēķina kārtība, kas ietvers arī kārtību, kādā tiek aprēķināts saražotās elektroenerģijas pašpatēriņš attiecībā pret kopīgoto elektroenerģiju, tiks noteikta ETL pakārtotajos Ministru kabineta noteikumos. Attiecīgi likumprojekts tiek papildināts ar deleģējumu Ministru kabinetam izstrādāt minēto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aktīvais lietotājs – galalietotājs, kurš ražo elektroenerģiju savām vai savas energokopienas vajadzībām un var saražotās elektroenerģijas pārpalikumu, kas veido ne vairāk kā 20% no lietotāja saražotās elektroenerģijas 12 mēnešu periodā, nodot elektroenerģijas tirgotājam neto norēķinu sistēmas ietvaros, pārdot, iesaistīties elastības pakalpojumos vai energoefektivitātes shēmās. Aktīvais lietotājs nav energoapgādes komersants";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daļu ar 18.</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4</w:t>
            </w:r>
            <w:r w:rsidR="00000000" w:rsidRPr="00000000" w:rsidDel="00000000">
              <w:rPr>
                <w:rtl w:val="0"/>
              </w:rPr>
              <w:t xml:space="preserve">) jaudas atjaunošana - elektrostaciju, kurās elektroenerģija tiek ražota, izmantojot atjaunojamos energoresursus, modernizēšana, tostarp iekārtu vai ekspluatācijas sistēmu un aprīkojuma pilnīga vai daļēja nomaiņa, lai nomainītu jaudu vai palielinātu efektivitāti vai iekārtas jaudu;";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22. panta pirmās daļas pirmo teikumu pēc vārda "palielināšanai " ar vārdu " atjaunošanai";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rosina Likumprojektā nepārprotami norādīt, kas būtu saprotams ar vārdu “atjaunošana”. Proti, vai tā ir ražošanas iekārtu nomaiņa vai pieslēguma atjaunošana, vai abi. Ja atjaunošana attiecas uz iekārtu nomaiņu, būtu jāprecizē, vai ministrijas atļauja nepieciešama arī tādā gadījumā, ja jauda netiek mainīta. Regulators arī norāda, ka anotācijā minēts, ka atļauja atjaunošanai nepieciešama, ja jāuzsāk pieslēguma atjaunošana, t.i., nav saprotams, kāpēc nepieciešama jauna atļauja. Ja notikusi iekārtu nomaiņa, elektroenerģijas ražotājam jāievēro Regulatora 2013.gada 26.jūnija lēmuma Nr.1/4 “Tīkla kodekss elektroenerģijas nozarē” 26.punkta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minētā grozījuma mērķis ir pārņemt Latvijas tiesību aktos </w:t>
            </w:r>
            <w:r w:rsidR="00000000" w:rsidRPr="00000000" w:rsidDel="00000000">
              <w:rPr>
                <w:i w:val="1"/>
                <w:rtl w:val="0"/>
              </w:rPr>
              <w:t xml:space="preserve">Eiropas Parlamenta un Padomes direktīvas (ES) 2018/2001 (2018. gada 11. decembris) par no atjaunojamajiem energoresursiem iegūtas enerģijas izmantošanas veicināšanu</w:t>
            </w:r>
            <w:r w:rsidR="00000000" w:rsidRPr="00000000" w:rsidDel="00000000">
              <w:rPr>
                <w:rtl w:val="0"/>
              </w:rPr>
              <w:t xml:space="preserve"> (turpmāk - ES direktīva 2018/2001) 16. panta 6. punktā ietverto regulējumu, kas uzliek pienākumu Latvijai nacionālajos tiesību aktos paredzēt nosacījumus arī elektroenerģijas ražošanas jaudu atjaunošanas gadījumā. Ar jēdzienu "jaudas atjaunošana" tiek saprasta jaudu atjaunošana minētās ES direktīvas 2018/2001 izpratnē. Lai nodrošinātu tiesisko skaidrību, projekts papildināts, ietverot tajā ar ES direktīvas 2018/2001 2. panta 10. punktu saskaņotu jēdziena "jaudas atjaunošana"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grozījums ETL 22. pantā jau ir iekļauts ETL nākotnes redakcijā, no projekta tas tiek svītrots, vienlaikus grozot 22. panta nosaukumu.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 pants. Elektroenerģijas ražošanas iekārtu ieviešana, ražošanas jaudu palielināšana un atjaunošana</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22. panta pirmās daļas pirmo teikumu pēc vārda "palielināšanai " ar vārdu " atjaunošanai";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Elektroenerģijas tirgus likuma 22. panta nosaukumā izdarīt likumprojekta "Grozījumi Elektroenerģijas tirgus likumā" (turpmāk – projekts) 2. pantā paredzēto grozījumu.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grozījumu, kas paredz grozījumu ETL 22. panta nosaukumā. Vienlaikus no projekta svītrots grozījums 22. pantā, jo šādas grozījums jau ir ietverts ETL nākotnes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 pants. Elektroenerģijas ražošanas iekārtu ieviešana, ražošanas jaudu palielināšana un atjaunošana</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norādīts, ka tas stāsies spēkā nākamajā dienā pēc izsludināšanas. Ievērojot minēto, aicinām precizēt projekta sākotnējās ietekmes novērtējuma ziņojuma (anotācijas) 1.2. apakšsadaļu un papildināt to ar šāda projekta spēkā stāšanās termiņa nepieciešamības skaidrojumu vai izslēgt no projekta spēkā stāšanās noteikumu, ja ir plānots, ka tas stāsies spēkā vispārējā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anotācijas 1.2. apkšsadaļā norādītā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1.3.apakšsadaļā norādīts, ka projekts sagatavots tai skaitā lai  to papildinātu atbilstoši </w:t>
            </w:r>
            <w:r w:rsidR="00000000" w:rsidRPr="00000000" w:rsidDel="00000000">
              <w:rPr>
                <w:i w:val="1"/>
                <w:rtl w:val="0"/>
              </w:rPr>
              <w:t xml:space="preserve">Eiropas Parlamenta un Padomes 2018. gada 11. decembra direktīvas 2018/2001/ES par no atjaunojamajiem energoresursiem iegūtas enerģijas izmantošanas veicināšanu</w:t>
            </w:r>
            <w:r w:rsidR="00000000" w:rsidRPr="00000000" w:rsidDel="00000000">
              <w:rPr>
                <w:rtl w:val="0"/>
              </w:rPr>
              <w:t xml:space="preserve"> (turpmāk - direktīva) 16. panta 6. punktā ietvertajam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Dirketīvas 16.panta 6.punkts paredz, ka "Dalībvalstis atvieglo jaudu atjaunināšanu esošām atjaunojamās enerģijas stacijām, nodrošinot vienkāršotu un ātru atļauju piešķiršanas procesu. Minētā procesa ilgums nepārsniedz vienu gadu. Pienācīgi pamatotos ārkārtas apstākļos, piemēram, sevišķi svarīgu drošības apsvērumu dēļ, ja jaudas atjaunināšanas projekts būtiski ietekmē tīklu vai iekārtas sākotnējo jaudu, izmēru vai veiktspēju, minēto viena gada termiņu var pagarināt vēl par ilgākais vienu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un tā anotācijas šobrīd nav viennozīmīgi skaidrs, kā tiek pārņemta minētā direktīvas norma. Vēršam uzmanību arī uz to, ka projekta anotācijas 5.sadaļā "Tiesību akta projekta atbilstība Latvijas Republikas starptautiskajām saistībām" norādīts, ka likumprojekts šo jomu neskar.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precizēt skaidrojumu par to, kā projektā tiek pārņemta minētā direktīvas norma, tai skaitā norādot attiecīgu informāciju projekta anotācijas 5.sadaļā, vai, nepieciešamības gadījumā, svītrot atsauci uz direktīvas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 tās 5. sadaļā iekļaujot informāciju par Eiropas Savienības tiesību normas pārņemšanu.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23-TA-1661</w:t>
    </w:r>
    <w:r>
      <w:br/>
    </w:r>
    <w:r w:rsidR="00000000" w:rsidRPr="00000000" w:rsidDel="00000000">
      <w:rPr>
        <w:rtl w:val="0"/>
      </w:rPr>
      <w:t xml:space="preserve">11.07.2023. 20.37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23-TA-1661</w:t>
    </w:r>
    <w:r>
      <w:br/>
    </w:r>
    <w:r w:rsidR="00000000" w:rsidRPr="00000000" w:rsidDel="00000000">
      <w:rPr>
        <w:rtl w:val="0"/>
      </w:rPr>
      <w:t xml:space="preserve">11.07.2023. 20.37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Izziņa_23-TA-1661.docx</dc:title>
</cp:coreProperties>
</file>

<file path=docProps/custom.xml><?xml version="1.0" encoding="utf-8"?>
<Properties xmlns="http://schemas.openxmlformats.org/officeDocument/2006/custom-properties" xmlns:vt="http://schemas.openxmlformats.org/officeDocument/2006/docPropsVTypes"/>
</file>