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25-TA-1216: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tabulu Nr.1 “Nepieciešamais finansējums sadalījumā pa finansējuma avotiem”, norādot kopējo finansējumu visiem projektiem sadalījumā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III sadaļu “Projektu aktivitātes un līdzfinansējums” nosakot, ka, gadījumā, ja pēc projektu pabeigšanas būs nepieciešams nodrošināt projektu rezultātu ilgtspēju, Veselības ministrija sadarbībā ar projekta īstenotājiem meklēs risinājumu pieejamo līdzekļu ietvaros, neradot negatīvu ietekmi uz vispārējās valdības budžeta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III sadaļa “Projektu aktivitātes un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(turpmāk – IZ projekts) un tam pievienotajā MK sēdes protokollēmuma projektā norādītie finansējumu apmēri neatbilst IZ projekta pievienotajos pielikumos norādītajiem finansējuma apmēriem, lūdzam salāgot IZ projektu (Tabula Nr.1 un sadaļa “Turpmākā rīcība”), MK sēdes protokollēmuma projektu un IZ projekta pielikumus. Vienlaikus vēršam uzmanību, ka finansējuma apmēri MK sēdes protokollēmuma projektā un IZ projektā norādāmi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un salāgota.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 pielikuma 2. lpp., aizstājot teikumu “Veterināro sektoru šajās darba pakās pārstāv BIOR” ar teikumu “Veterinārmedicīnas, vides un “Vienas veselības” jomas atbilstošajās projekta darba pakās pārstāv BIOR”.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 pielikuma 2. lpp., aizstājot teikumu “Veterināro sektoru šajās darba pakās pārstāv BIOR” ar teikumu “Veterinārmedicīnas, vides un “Vienas veselības” jomas atbilstošajās projekta darba pakās pārstāv BIOR”.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1.pielikumā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minēts, ka “Kļūt par vienotās rīcības vai tiešo dotāciju dalībnieku iestāde var tikai tādā gadījumā, ja to nominē “ES-veselībai” programmas dalībvalsts vadošā par konkrēto nozari, kas tiek aptverta “ES-veselībai” programmas ietvaros, atbildīgā ministrija Latvijā (Veselības ministrija un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papildināt informatīvo ziņojumu, jo nav saprotams, kādos gadījumos atbildīgā ministrija ir Zemkopības ministrija un ir tiesīga nominēt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neizmantot saīsinājumu terminam "Veselības ministrija", lai novērstu pretrunas un teksta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izteikt  teikuma daļu "...atbildīgā ministrija Latvijā (Veselības ministrija un Zemkopības ministrija)" šādā redakcijā "..atbildīgā ministrija Latvijā (Veselības ministrija - cilvēku un sabiedrības veselības jomā, Zemkopības ministrija - dzīvnieku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minēts, ka “Veselības ministrija (turpmāk – Ministrija) atbilstoši veselības politikas prioritārajām jomām vai ievērojot pieeju “Viena veselība” sadarbībā ar citām par nozari atbildīgajām ministrijām, izvērtē un nosaka atbalstāmās aktivitātes un informē ieinteresētās iestādes par iespējām piedalīties kādā no EK Veselības programmas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kādām atbildīgajām ministrijām Veselības ministrija sadarbojas vai plāno sadarboties atbilstoši veselības politikas prioritārajām jomām vai ievērojot pieeju “Viena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kādas atbalstāmās aktivitātes vērtētas saistībā ar pieeju “Viena veselība”, iesaistot nozari, kas ir Zemkopības ministrijas atbildībā, un kuras iestādes tika informētas par iespēju piedalīties kādā no EK Veselības programmas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atbildīgajām ministrijām “Viena veselība” pieejas un veselības politikas prioritāšu īstenošanā Veselības ministrija sadarbojas un plāno sadarboties ar vairākām atbildīgajām ministrijām,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ministriju – sadarbība galvenokārt notiek dzīvnieku veselības, pārtikas drošības un zoonožu uzraudzības jomās, kas ir būtiski aspekti “Viena veselība” pieejā;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ministriju – sadarbība saistīta ar pētniecības un datu analīzes attīstību starpdisciplinārās jomās, kas veicina “Viena veselība” pieejas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minētajām institūcijām tiek organizēta atbilstoši starpnozaru veselības politikas prioritātēm, kā arī ievērojot pieeju “Viena veselība”, kas integrē cilvēku, dzīvnieku un vides veselības aspektus kopīgā rīcībpolitikā.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“Viena veselība” pieeju, Zemkopības ministrija, PVD un BIOR sadarbībā ar Slimību profilakses un kontroles centru (SPKC) jau šobrīd piedalās EU4Health programmas projektā par pārrobežu patogēnu uzraudzību 2024.–2026. gadam (tiešā dotācija CP-g-22-04.01). Minētās iestādes ir iesaistītas projektā “OH4Surveillance”, kura mērķis ir stiprināt uzraudzību un sadarbību starp cilvēku, dzīvnieku un vides veselības sektoriem. Projekts tika izskatīts un pieņemts zināšanai Ministru kabineta 2023. gada 24. oktobra sēdē (protokols Nr. 53, 56.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tā pielikumos nodrošināt pilnīgu izpratni par visiem ar projektiem saistītajiem aspektiem, piemēram, skaidrot, kādi ir plānotie ieguvumi Latvijai no dalības katrā konkrētā projektā. Vēršam uzmanību, ka, piemēram, attiecībā uz EU4Health projektu “Vienotā rīcība par antimikrobiālās rezistences (AMR) pasākumu īstenošanu dalībvalstīs” (EU-Jamrai 2) šāds skaidrojums tiek sniegts, bet attiecībā uz EU4Health projektu “Eiropas vienotā rīcība Eiropas Savienības Globālās veselības stratēģijas ietekmes palielināšanai” (JA GHI) vispārīgi norādīts tikai tā mērķis, aktivitātes un sasniedzamie rezultāti. Savukārt, piemēram, informatīvā ziņojuma 4. pielikumā nav skaidroti arī sasniedzamie rezultāti un konkrētas aktivitātes, lai gan tiek norādīts "Projektā paredzētās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informatīvajā ziņojumā, tā pielikumos un Ministru kabineta sēdes protokollēmuma projektā sniegt precīzu un salāgotu informācija, piemēram, 14. pielikumā norādīts, ka projektā iesaistīta tikai VSIA “Bērnu klīniskā universitātes slimnīca”, bet informatīvajā ziņojumā arī "</w:t>
            </w:r>
            <w:r w:rsidR="00000000" w:rsidRPr="00000000" w:rsidDel="00000000">
              <w:rPr>
                <w:i w:val="1"/>
                <w:rtl w:val="0"/>
              </w:rPr>
              <w:t xml:space="preserve">LZP, RSU, RAKUS</w:t>
            </w:r>
            <w:r w:rsidR="00000000" w:rsidRPr="00000000" w:rsidDel="00000000">
              <w:rPr>
                <w:rtl w:val="0"/>
              </w:rPr>
              <w:t xml:space="preserve">". Informatīvā ziņojuma 5. pielikumā projekta akronīms norādīts "JA MENTOR", bet informatīvajā ziņojumā "MENTOR", savukārt, atbilstoši 5. pielikuma 2. tabulai, EU4Health projekta “Kopā psihiskajai veselībai” (JA MENTOR) ārvalstu finansējums ir 624 396,10 euro, bet informatīvajā ziņojumā un Ministru kabineta protokollēmuma projektā norādīts 624 317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salāgota  informācija informatīvajā  ziņojumā, tā pielikumos un MK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II sadaļā “Ievads” norādītajam ar katru projekta partneri, uzsākot sadarbību, tiek parakstīts granta līgums, kas paredz visus projekta nosacījumus, bet nav sniegta konkrētāka informācija par līgumu noslēgšanu, tikai katra projekta īstenošanas laiks. Attiecīgi lūdzam papildināt informatīvo ziņojumu, norādot izvērstāku informāciju par granta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Likuma par budžetu un finanšu vadību 24. panta trešajai daļai budžeta iestādes var uzņemties papildu valsts budžeta ilgtermiņa saistības vienīgi Eiropas Savienības politikas instrumentu un pārējās ārvalstu finanšu palīdzības līdzfinansētos projektos un pasākumos, ja pieņemts attiecīgs Ministru kabineta lēmums, bet no informatīvā ziņojuma un tā pielikumiem, kur norādīts, piemēram, "Projekta īstenošanas laiks ir no 2024. gada 1. janvāra līdz 2027. gada 31. decembrim" ir noprotams, ka projektu īstenošana jau ir sākusies. Tātad, ja granta līguma īstenošana uzsākta pirms tam, kad atbilstoši Likuma par budžetu un finanšu vadību 24. panta trešajai daļai ir pieņemts attiecīgs Ministru kabineta lēmums, lūdzam papildināt skaidrojumus ar to, kā tiek nodrošināta projekta īstenošanas atbilstība nacionālajām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informatīvajā ziņojumā minētajiem projekta īstenotājiem tikai viena iestāde ir valsts budžeta finansēta iestāde, uz kuru attiecas LBFV 24.pantā norādītais. Vienlaikus projekta īstenošanas uzsākšana nav tieši saistīta ar ilgtermiņa saistību uzņemšanos, jo valsts budžeta iestāde (SPKC) finansējumu drīkst ieplānot savā budžetā tikai pēc Ministru kabineta lēmuma saņemšanas. Līdz tam projekta ietvaros tiek veikti sagatavošanās darbi, tajā skaitā komunikācija ar projekta vadošo partneri, saskaņošana un atļauju saņemšana atbilstoši starptautiskajiem un ES normatīvajiem aktiem, kas nepieciešami granta līguma nosacījumu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izvērtējot minēto situāciju, izstrādās skaidru un vienotu kārtību, lai turpmāk visām padotībā esošām valsts budžeta iestādēm būtu nodrošināta atbilstoša informācija par normatīvo aktu prasībām attiecībā uz ilgtermiņa saistību uzņemšanos Eiropas Savienības politikas instrumentu un ārvalstu finanšu palīdzības līdzfinansētajos projektos. Ministrija arī aicinās padotības iestādes stingri ievērot minētās prasības un nodrošināt, ka jaunas ilgtermiņa saistības netiek uzņemtas pirms attiecīgā Ministru kabineta lēmuma pieņemšanas. Papildus Veselības ministrija izvērtēs nepieciešamību veikt grozījumus iekšējās kontroles un uzraudzības procedūrās, lai šādas situācijas nākotnē nepieļautu.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informatīvā ziņojuma projekta tālāku virzību, ja izskatīšanai Ministru kabineta (turpmāk - MK) sēdē tiek virzīts š.g. 16. jūlijā Finanšu ministrijai elektroniski nosūtītais precizētais informatīvā ziņojuma projekts un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informatīvā ziņojuma II sadaļā “Ievads” norādītajam, ar katru projekta partneri, uzsākot sadarbību, tiek parakstīts granta līgums, kas paredz visus projekta nosacījumus, bet, attiecībā uz atsevišķiem projektiem nav sniegta konkrētāka informācija par līgumu noslēgšanu, tikai projekta īstenošanas laiks. Attiecīgi lūdzam papildināt informatīvo ziņojumu, norādot izvērstāku informāciju par granta līgumiem, nodrošinot, ka par katru projektu tiek nodrošināta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lūdzam informatīvajā ziņojumā un tā pielikumos nodrošināt pilnīgu izpratni par visiem ar projektiem saistītajiem aspektiem, piemēram, 16. pielikumā skaidrot, kādi ir plānotie ieguvumi Latvijai no dalības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parakstītie granta līgumi, papildināta informācija 16.pielikumā.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informatīvajam ziņojumam pievienot tikai aktuālās pielikumu redakcijas, novēršot nekorektas informācijas pieejamību un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atsaukties arī uz Zinātnes, tehnoloģijas attīstības un inovācijas pamatnostādnēm 2021.-2027. gadam, jo arī to ietvarā ir paredzēta nekomerciāla pētniecība, norādot iznākuma rādītājus, kuros ieguldījumu sniegs valsts budžeta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informatīvā ziņojuma 3.lpp.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ievietot precīzu dokumenta nosaukumu 8. lpp teksta "Pētniecības pamatnostādņu" vietā, jo atšifrējums ir dots tikai tālāk tekstā. Tāpat lūdzam dokumentā tikai pirmajā pieminēšanas un atšifrēšanas vietā lietot turpmāk - .., taču nelietot to vairākās vietās visa dokumenta ietvarā, jo tad nav skaidrs, vai ir atsauce uz šo pašu oriģinālo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lappušu numerāciju pdf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kas iekļauta par valsts kapitālsabiedrībām un APP zinātniskajām institūcijām 7., 8., 9. lpp nozīmē to, ka tās ir pētniecības organizācijas un var realizēt nesaimnieciskus projektus. Lūdzu pielietot standartizētu metodiku PO statusa noteikšanai https://www.izm.gov.lv/lv/metodika-petniecibas-un-zinasanu-izplatisanas-organizaciju-statusa-izvertejumam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šeit ir budžeta iestāde SPKC, taču uz to jebkurā gadījumā neattiecas augšminētie jautājumi, jo SPKC pēc dibināšanas dokumentiem vispār nav saimnieciskās darbības subjekts un nesniedz pakalpojumus nevienā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Atbilstoši priekšlikumam papildināta informācija 9.lpp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visā informatīvā ziņojuma tekstā ievērot vienotu pieeju saīsinājumu veidošanā un izmantošanā, kā arī pilnveidot tabulu un informatīvā ziņojuma lappušu numerāciju, uzlabojot teksta uztveramību un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 pielikuma daļas  “Projektā paredzētās aktivitātes:” 2. aktivitātes pirmo teikumu “Atbalsta programma nacionālo AMR izstrādei.”, to papildinot ar skaidrojumu par atbalsta programmas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papildināt informatīvo ziņojumu ar tekstu “Tāpat Ministru kabineta 2024. gada 20. janvāra rīkojuma Nr. 55 “Par Valdības rīcības plānu Deklarācijas par Evikas Siliņas vadītā Ministru kabineta iecerēto darbību īstenošanai” pielikumā iekļauts 24.4. pasākums, kas paredz “Augsta sabiedrības un dzīvnieku veselības aizsardzības līmeņa stiprināšana atbilstoši pamatprincipam "viena veselība", īstenojot uzraudzības pasākumus, veicinot zinātnisko izpēti un vienotas informācijas sistēmas izstrādi dzīvnieku veselības, veterināro zāļu un pārtikas aprites jomā, kā arī nodrošinot nekaitīgas un kvalitatīvas pārtikas apriti, nekaitīgas dzīvnieku barības ražošanu un augstu dzīvnieku aizsardzības un labturības prasību piemērošanas līmeni.”” (turpmāk – VRP 24.4. pasākums), jo saskaņā ar informatīvā ziņojuma 1. pielikumu tiek minēts, ka projekts EU-Jamrai 2 ir izstrādāts, lai palīdzētu ES dalībvalstīm un asociētajām valstīm uzraudzīt un novērst antimikrobiālo rezistenci, kā arī uzlabotu veselības aprūpes kvalitāti, īpaši infekciju novēršanā, veicinot vienotu pieeju AMR problēmas risināšanā, integrējot cilvēku, dzīvnieku un vides veselības sektoru, kas tiek dēvēts par “Vienas veselības” (One Health) pieeju. Galvenais mērķis ir stiprināt nacionālās AMR stratēģijas un uzlabot reakcijas spējas, lai samazinātu AMR negatīvo ietekmi uz veselības aprūpes sistēmām Eiropas līmenī. Vienotās rīcības misija ir samazināt Eiropas iedzīvotāju risku saskarties ar baktērijām, kas ir rezistentas pret mikrobiem. Tādējādi ar projektu EU-Jamrai 2 tiktu īstenots augsta sabiedrības un dzīvnieku veselības aizsardzības līmeņa stiprināšana atbilstoši pamatprincipam "viena veselība", atbilstoši VRP 24.4.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9.lpp papildināta ar priekšlikumā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nekonkrētām atsaucēm uz normatīvajiem aktiem kā, piemēram, "[..] EK paziņojuma Pētniecībai, izstrādei un inovācijai piešķiramā valsts atbalsta nostādņu (2022/C 414/01) [..] 16. punkta (ff) definīcijā".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"Eiropas Savienība" un saīsinājumu "ES", terminu "Veselības ministrija" un saīsinājumiem "VM" un "Ministrija", terminu "Eiropas Komisija" un saīsinājumu "EK", saīsinājumu ""ES-veselībai ”programma"" un "programma “ES–veselībai” – EU4Health", "MK Nr. 421" un "MK noteikumi Nr. 421" u.c.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augstāk minēto ievērot arī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atsauces uz nacionālajiem tiesību aktiem noformēt atbilstoši Ministru kabineta 2009.gada 3.februāra noteikumu Nr.108 "Normatīvo aktu projektu sagatavošanas noteikumi" 3.7. apakšnodaļai, piemēram, Ministru kabineta 2022. gada 26. maija rīkojums Nr. 359 "Sabiedrības veselības pamatnostādnes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25-TA-1216</w:t>
    </w:r>
    <w:r>
      <w:br/>
    </w:r>
    <w:r w:rsidR="00000000" w:rsidRPr="00000000" w:rsidDel="00000000">
      <w:rPr>
        <w:rtl w:val="0"/>
      </w:rPr>
      <w:t xml:space="preserve">17.07.2025. 15.26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25-TA-1216</w:t>
    </w:r>
    <w:r>
      <w:br/>
    </w:r>
    <w:r w:rsidR="00000000" w:rsidRPr="00000000" w:rsidDel="00000000">
      <w:rPr>
        <w:rtl w:val="0"/>
      </w:rPr>
      <w:t xml:space="preserve">17.07.2025. 15.26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Izziņa_25-TA-1216.docx</dc:title>
</cp:coreProperties>
</file>

<file path=docProps/custom.xml><?xml version="1.0" encoding="utf-8"?>
<Properties xmlns="http://schemas.openxmlformats.org/officeDocument/2006/custom-properties" xmlns:vt="http://schemas.openxmlformats.org/officeDocument/2006/docPropsVTypes"/>
</file>