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22-TA-1908: Noteikumu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Latvijas Republikas valdības un Krievijas Federācijas valdības vienošanās par sadarbību vides aizsardzības jomā denonsēšanu</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Denonsēt 2010. gada 20. decembrī Maskavā parakstītās Latvijas Republikas valdības un Krievijas Federācijas valdības vienošanos par sadarbību vides aizsardzības jomā (turpmāk – Vienošanās).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- 22.06.2022.)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noteikumu 1.punkta redakciju.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Denonsēt 2010. gada 20. decembrī Maskavā </w:t>
            </w:r>
            <w:r w:rsidR="00000000" w:rsidRPr="00000000" w:rsidDel="00000000">
              <w:rPr>
                <w:u w:val="single"/>
                <w:rtl w:val="0"/>
              </w:rPr>
              <w:t xml:space="preserve">parakstīto</w:t>
            </w:r>
            <w:r w:rsidR="00000000" w:rsidRPr="00000000" w:rsidDel="00000000">
              <w:rPr>
                <w:rtl w:val="0"/>
              </w:rPr>
              <w:t xml:space="preserve"> Latvijas Republikas valdības un Krievijas Federācijas valdības vienošanos par sadarbību vides aizsardzības jomā (turpmāk – Vienošanās).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Denonsēt 2010. gada 20. decembrī Maskavā parakstīto Latvijas Republikas valdības un Krievijas Federācijas valdības vienošanos par sadarbību vides aizsardzības jomā (turpmāk – Vienošanās).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- 22.06.2022.)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papildināt 1.3. sadaļu "Problēmas un risinājumi", uzvērot, ka galvenais iemesls Vienošanās denonsēšanai ir Krievijas Federācijas īstenotā agresija Ukrainā, kā arī norādīt, ka Vienošanās denonsēšana ir Latvijas izvēlēts pretpasākums, lai motivētu Krievijas Federāciju pārtraukt veiktos starptautisko tiesību pārkāpumus un pilnībā atlīdzināt par jau izdarītajiem pārkāpumiem. Agrumentācijai piedāvājām izmantot līdzīgo tiesību aktu projektu par līgumu ar Krieviju apturēšanu/denonsēšanu anotācijas (22-TA-1920, 22-TA-1887 uc.).</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informācija 1.3.sadaļas apakšsadaļā "Problēmas un risinājumi".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22-TA-1908</w:t>
    </w:r>
    <w:r>
      <w:br/>
    </w:r>
    <w:r w:rsidR="00000000" w:rsidRPr="00000000" w:rsidDel="00000000">
      <w:rPr>
        <w:rtl w:val="0"/>
      </w:rPr>
      <w:t xml:space="preserve">06.07.2022. 14.07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22-TA-1908</w:t>
    </w:r>
    <w:r>
      <w:br/>
    </w:r>
    <w:r w:rsidR="00000000" w:rsidRPr="00000000" w:rsidDel="00000000">
      <w:rPr>
        <w:rtl w:val="0"/>
      </w:rPr>
      <w:t xml:space="preserve">06.07.2022. 14.07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Izziņa_22-TA-1908.docx</dc:title>
</cp:coreProperties>
</file>

<file path=docProps/custom.xml><?xml version="1.0" encoding="utf-8"?>
<Properties xmlns="http://schemas.openxmlformats.org/officeDocument/2006/custom-properties" xmlns:vt="http://schemas.openxmlformats.org/officeDocument/2006/docPropsVTypes"/>
</file>