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21-TA-849: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Vides trokšņa stratēģisko karšu un rīcības plānu vides trokšņa pārvaldībai izstrādes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trokšņa stratēģisko karšu un rīcības plānu vides trokšņa pārvaldībai izstrādes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izziņas 2. punktā norādīts, ka Satiksmes ministrijas 11.05.2022. atzinumā ietvertais 2.iebildums ir ņemts vērā, tomēr Satiksmes ministrijas ieskatā tas nav ņemts vērā. Līd ar to, Satiksmes ministrija uztur izteikto iebildumu - noteikumu projektā ietvertās normas visā saskaņošanas procesā vērtēt kopsakarā ar citiem izsludinātajiem un saskaņošanai virzītajiem tiesību aktu projektiem. Noteikumu projekta "Vides trokšņa stratēģisko karšu un rīcības plānu vides trokšņa pārvaldībai izstrādes noteikumi" (Nr. 21-TA-849) un noteikumu projekta "Satiksmes un rūpniecisko objektu vides trokšņa pārvaldība" (Nr. 21-TA-871) vērtības un to piemērošanas kārtību noteikt saskanīgu, tostarp par vērtību noteikšanu, vērtību diferencēšanu satiksmes un rūpniecības trokšņa avotiem, teritoriju, kur tās piemērojamas, definēšanu, noteikumu projekta anotācijas detalizētu papildināšanu attiecībā uz regulējuma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Savstarpēji saskaņoti noteikumu projekts un noteikumu projekts "Satiksmes un rūpniecisko objektu vides trokšņa pārvaldība" (Nr. 21-TA-871)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trokšņa stratēģisko karšu un rīcības plānu vides trokšņa pārvaldībai izstrādes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trokšņa stratēģisko karšu un rīcības plānu vides trokšņa pārvaldībai izstrādes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 punktā norādīts, ka Satiksmes ministrijas 11.05.2022. atzinumā ietvertais 1.iebildums nav ņemts vērā. Līdz ar to, Satiksmes ministrija uztur minēto iebildumu un tajā norādītos argumentus. Satiksmes ministrijas ieskatā, nav atbalstāma pieeja, kas paredz atteikties no līdz šim spēkā esošā nosacījuma par teritorijas robežām, kurās vērtē atbilstību. Ja atsakās no nosacījuma, ka zemei jābūt arī reģistrētai kā apbūves zemei, bet pietiek, ka teritorijas plānojums vispārīgi tajā atļauj būvēt, noteikumu projekts teritoriju lokā, kur jānodrošina atbilstība vides trokšņa robežlielumiem, iekļauj neizmērojami plašas jaunas platības, kas pašvaldību teritoriju plānojumos pieļauj dzīvojamo apbūvi.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1.pielikuma 4.punktā precizēts, ka šo noteikumu izpratnē vides trokšņa indikatora vērtības viensētu apbūvē attiecina uz ēkām, kurām ir noteikts dzīvojamās mājas lietošanas veids.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trokšņa stratēģisko karšu un rīcības plānu vides trokšņa pārvaldībai izstrādes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trokšņa stratēģisko karšu un rīcības plānu vides trokšņa pārvaldībai izstrādes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projekts ir daļa no normatīvā regulējuma izmaiņu kopuma, ko, aizstājot pašlaik spēkā esošo regulējumu, paredzēts īstenot vides trokšņa pārvaldības jomā, kas ietver arī likumprojektu “Vides aizsardzības likums” (21-TA-593) un Ministru kabineta noteikumu projektu “Satiksmes un rūpniecisko objektu vides trokšņa pārvaldība” (21-TA-871), lūdzam noteikumu projektā ietvertās normas visā saskaņošanas procesā vērtēt kopsakarā ar citiem izsludinātajiem un saskaņošanai virzītajiem tiesību aktu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Norādāms, ka šobrīd spēkā esošo Ministru kabineta 2014.gada 7.janvāra noteikumu Nr. 16 "Trokšņa novērtēšanas un pārvaldības kārtība " (turpmāk - MK noteikumi Nr. 16) tiesību normas, ar kurām nacionālajā likumdošanā tika pārņemtas Direktīvas 2002/49/EK (ar grozījumiem līdz 2015. gada 19. maijam) prasības ir iekļautas noteikumu projektā "Vides trokšņa stratēģisko karšu un rīcības plānu vides trokšņa pārvaldībai izstrādes kārtība " (21-TA-849),  MK noteikumu Nr. 16 tiesību normas attiecībā uz  prasībām telpu akustikai ir iekļautas noteikumu projektā “Grozījumi Ministru kabineta 2015. gada 15. jūnija noteikumos Nr. 312 “Noteikumi par Latvijas būvnormatīvu LBN 016-15 “Būvakustika”” (Nr. 21-TA-886), bet MK noteikumu Nr.16 prasības par  satiksmes un rūpniecisko objektu trokšņa pārvaldību ir  iekļautas noteikumu projektā "Satiksmes un rūpniecisko objektu vides trokšņa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normatīvo aktu projekti (21-TA-871). Lai gan noteikumu projekti (21-TA-849, 21-TA-886, 21-TA-871) kopumā ir vispārīgi attiecināmi uz akustiskās (skaņu) vides veidošanu, to apvienošana vienā normatīvā akta projektā vai to virzība ar apvienotu anotācija būtu apgrūtināta, jo katrs normatīvā akta projekts attiecināms uz atsevišķu rīcībpolitikas nozari - vides aizsardzību (21-TA-849), būvniecības būvakustiku (21-TA-886) un sabiedrības veselības aizsardzību (21-TA-871). Iespēju robežās, ņemot vērā atšķirīgo normatīvo aktu projektu saskaņošanas gaitu, plānota saskaņota normatīvo aktu projektu virzība.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trokšņa stratēģisko karšu un rīcības plānu vides trokšņa pārvaldībai izstrādes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trokšņa stratēģisko karšu un rīcības plānu vides trokšņa pārvaldībai izstrādes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ieskatā noteikumu projektā ietvertais regulējums neietver regulējumu par vides trokšņa pārvaldību pēc Ministru kabineta 2014. gada 7. janvāra noteikumu Nr. 16 "Trokšņa novērtēšanas un pārvaldības kārtība” (turpmāk - MK noteikumi Nr.16) spēka zaudēšanas. Vēršam uzmanību, ka  MK noteikumu Nr.16 2.pielikuma 3.2. apakšpunkts skaidri noteica, ka atbilstību vides trokšņa robežlielumiem vērtē teritorijā, kura ietver dzīvojamo apbūvi, kas reģistrēta Nekustamā īpašuma valsts kadastra informācijas sistēmā kā apbūves zeme vai zeme zem dzīvojamo ēku pagalmiem, kā arī 2 m attālumā no fasādes, kura ir visvairāk pakļauta trokšņa iedarbībai, un kādā veidā nosakāms, kuru no MK noteikumu Nr. 16 2. pielikuma robežlielumiem uz vērtējamo teritoriju attiecināt (vērtējot atbilstoši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1.pielikuma tabulā nav precīzi noteikts, kā turpmāk paredzēts vērtēt atbilstību vides trokšņa robežlielumiem, jo teritoriju kategorijas noteiktas kā apbūves teritorijas izmantošanas funkcija. Jāņem vērā, ka teritorijas plānojumā noteiktā funkcionālā zona un konkrētā apbūves teritorijas izmantošanas funkcija var atšķirties (piemēram, var turpināties neatbilstoša izmantošana, kas uzsākta likumīgi līdz teritorijas plānojuma grozījumiem). Turklāt, ne vienmēr viss īpašums tiek izmantots attiecīgajai funkcijai, kas noteikta teritorijas plānojumā.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noteikumu projektā un likumprojektā “Vides aizsardzības likums” (21-TA-593) noteikt skaidri, vai vides trokšņa robežlielumi piemērojami, ņemot vērā teritorijas faktisko izmantošanas funkciju vai  teritorijas plānojumā noteikto apbūves teritorijas funkcionālo zonu. Ja piemērojami abi, lai katrā konkrētā gadījumā identificētu to teritorijas daļu, kurā nodrošināma atbilstība, tas noregulēts skaidri, noteikumu projektā nosakot šī nosacījuma piemērošanas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ar mērķi noteikt prasības trokšņa stratēģisko karšu un rīcības plānu izstrādei. Noteikumu projekta 1. pielikuma 4. punktā norādītie vides trokšņa robežlielumi ir noteikti apbūves teritorijām, ņemot vērā pašvaldības teritorijas plānojumā noteikto apbūves teritorijas galveno izmantošanas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2013.gada 30.aprīļa noteikumiem Nr. 240 “Vispārīgie teritorijas plānošanas, izmantošanas un apbūves noteikumi” (turpmāk – MK noteikumi Nr. 240) pašvaldību teritorijas plānojumā vai lokālplānojumā ir jānosaka arī viensētu apbūves teritorijas. Saskaņā ar MK noteikumu Nr. 240 3. pielikumu “Teritorijas izmantošanas veidu klasifikatoru” viensētu apbūve ietilpst dzīvojamās apbūves un teritorijas izmantošanas grupā un, attiecīgi teritorijas plānojumā noteiktajam  teritorijas izmantošanas veidam piemērojami vides trokšņa robežlielumi.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spēkā esošā norma, saskaņā ar kuru vides trokšņa līmeņa atbilstību vides trokšņa robežlielumiem novērtē teritorijā, kas reģistrēta Nekustamā īpašuma valsts kadastra informācijas sistēmā kā apbūves zeme vai zeme zem dzīvojamo ēku pagalmiem netiek pārņemta. Vides trokšņa robežlielumus nosaka atkarībā no apbūves teritorijas galvenā izmantošanas veida nevis  atkarībā no nekustamā īpašuma objekta vai zemes vienības kadastrālā novērtējuma, kas izriet no Nekustāmā īpašuma valsts kadastra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pašvaldību teritorijas plānojumu izstrādā noteiktam laika periodam, kā arī nepieciešamības gadījumā veic grozījumus teritorijas plānojumā vides trokšņa robežlielumus novērtē atbilstoši teritorijas plānojumā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trokšņa stratēģisko karšu un rīcības plānu vides trokšņa pārvaldībai izstrādes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w:t>
            </w:r>
            <w:r w:rsidR="00000000" w:rsidRPr="00000000" w:rsidDel="00000000">
              <w:rPr>
                <w:rtl w:val="0"/>
              </w:rPr>
              <w:t xml:space="preserve">"Par piesārņojumu"</w:t>
            </w:r>
            <w:r w:rsidR="00000000" w:rsidRPr="00000000" w:rsidDel="00000000">
              <w:rPr>
                <w:rtl w:val="0"/>
              </w:rPr>
              <w:t xml:space="preserve"> 18.</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kapitālu daļu un kapitālsabiedrību pārvaldības likuma</w:t>
            </w:r>
            <w:r w:rsidR="00000000" w:rsidRPr="00000000" w:rsidDel="00000000">
              <w:rPr>
                <w:rtl w:val="0"/>
              </w:rPr>
              <w:t xml:space="preserve"> 23. panta 2.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w:t>
            </w:r>
            <w:r w:rsidR="00000000" w:rsidRPr="00000000" w:rsidDel="00000000">
              <w:rPr>
                <w:rtl w:val="0"/>
              </w:rPr>
              <w:t xml:space="preserve">"Par pašvaldībām"</w:t>
            </w:r>
            <w:r w:rsidR="00000000" w:rsidRPr="00000000" w:rsidDel="00000000">
              <w:rPr>
                <w:rtl w:val="0"/>
              </w:rPr>
              <w:t xml:space="preserve">  23. panta 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likuma “Par piesārņojumu” 18.1 pants iedalās sīkākās vienībās. Attiecīgi lūdzam precizēt pilnvarojuma norādi, norādot konkrētu panta vienību (trešo daļu). Savukārt pilnvarojuma norādē iekļautā atsauce uz Publiskas personas kapitālu daļu un kapitālsabiedrību pārvaldības likuma 23. panta otro daļu ir nekorekta un lieka, jo šī norma neietver pilnvarojumu Ministru kabinetam izdot noteikumus. Arī norāde uz likuma “Par pašvaldībām” 23. panta 3. punktu ir nekorekta un lieka, jo 23. pantā nav sīkāku iedalījuma vienību (daļu vai punktu), turklāt 23. pants neparedz pilnvarojumu Ministru kabinetam izdot noteikumus. Attiecīgi lūdzam precizēt tiesiskā pamatojuma norādi, kā arī precizēt noteikumu projekta 1. punktu, korekti atspoguļojot likumā noteikto pilnvarojumu ministru kabinetam saskaņā ar Ministru kabineta 2009. gada 3. februāra noteikumu Nr. 108 “Normatīvo aktu projektu sagatavošanas noteikumi” (turpmāk - MK noteikumi Nr. 108) 100.2. apakšpunktu, korekti atspoguļojot deleģējumu. Papildus minētajam, lūdzam arī izvērtēt noteikumu projekta satura atbilstību likumā noteiktajam pilnvarojumam, nepieciešamības gadījumā precizējot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w:t>
            </w:r>
            <w:r w:rsidR="00000000" w:rsidRPr="00000000" w:rsidDel="00000000">
              <w:rPr>
                <w:rtl w:val="0"/>
              </w:rPr>
              <w:t xml:space="preserve">"Par piesārņojumu"</w:t>
            </w:r>
            <w:r w:rsidR="00000000" w:rsidRPr="00000000" w:rsidDel="00000000">
              <w:rPr>
                <w:rtl w:val="0"/>
              </w:rPr>
              <w:t xml:space="preserve"> 18.</w:t>
            </w:r>
            <w:r w:rsidR="00000000" w:rsidRPr="00000000" w:rsidDel="00000000">
              <w:rPr>
                <w:vertAlign w:val="superscript"/>
                <w:rtl w:val="0"/>
              </w:rPr>
              <w:t xml:space="preserve">1</w:t>
            </w:r>
            <w:r w:rsidR="00000000" w:rsidRPr="00000000" w:rsidDel="00000000">
              <w:rPr>
                <w:rtl w:val="0"/>
              </w:rPr>
              <w:t xml:space="preserve"> panta trešo daļas 1.-5.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saskaņā ar Ministru kabineta 2009.gada 3.februāra noteikumu Nr.108 "Normatīvo aktu projektu sagatavošanas noteikumi" (turpmāk - noteikumi Nr. 108) 100. punktu noteikumu projekta 1. punktā rakstīt (pārrakstīt) likumā noteikto pilnvarojumu Ministru kabinetam (sk., piemēram, likuma "Par piesārņojumu" 18.</w:t>
            </w:r>
            <w:r w:rsidR="00000000" w:rsidRPr="00000000" w:rsidDel="00000000">
              <w:rPr>
                <w:vertAlign w:val="superscript"/>
                <w:rtl w:val="0"/>
              </w:rPr>
              <w:t xml:space="preserve">1</w:t>
            </w:r>
            <w:r w:rsidR="00000000" w:rsidRPr="00000000" w:rsidDel="00000000">
              <w:rPr>
                <w:rtl w:val="0"/>
              </w:rPr>
              <w:t xml:space="preserve"> panta trešās daļas 5. punktā paredzēto pilnvarojumu noteikt citstarp kārtību, kādā sabiedrība tiek iesaistīta rīcības plāna trokšņa samazināšanai izstrādē, 1. punkta formulējumu u.tml.). Papildus lūdzam lietot likumā lietotos formulējumus (piemēram, "rīcības plāns trokšņa samazināšanai") vai sniegt pamatotu skaidrojumu par projekta 1. punkta, kā arī projekta un tajā lietotās terminoloģijas atbilstību likumam. Ņemot arī vērā, ka likuma "Par piesārņojumu" 18.</w:t>
            </w:r>
            <w:r w:rsidR="00000000" w:rsidRPr="00000000" w:rsidDel="00000000">
              <w:rPr>
                <w:vertAlign w:val="superscript"/>
                <w:rtl w:val="0"/>
              </w:rPr>
              <w:t xml:space="preserve">1</w:t>
            </w:r>
            <w:r w:rsidR="00000000" w:rsidRPr="00000000" w:rsidDel="00000000">
              <w:rPr>
                <w:rtl w:val="0"/>
              </w:rPr>
              <w:t xml:space="preserve"> panta trešās daļas 1.-5. punktā tiek lietots termins "troksnis", nevis "vides troksnis", lūdzam anotācijā sniegt pamatojumu par atbilstību pilnvarojumam vai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paužam arī bažas, ka nav pilnīgi skaidrs, ar ko projekta 2.19. apakšpunktā definētais termins "vides trokšņa indikators" saturiski atšķiras no likuma "Par piesārņojumu" 1. panta 14. punktā definētā termina "trokšņa rādītājs". Vēršam arī uzmanību, ka pilnvarojumā Ministru kabinetam likuma "Par piesārņojumu" 18.</w:t>
            </w:r>
            <w:r w:rsidR="00000000" w:rsidRPr="00000000" w:rsidDel="00000000">
              <w:rPr>
                <w:vertAlign w:val="superscript"/>
                <w:rtl w:val="0"/>
              </w:rPr>
              <w:t xml:space="preserve">1</w:t>
            </w:r>
            <w:r w:rsidR="00000000" w:rsidRPr="00000000" w:rsidDel="00000000">
              <w:rPr>
                <w:rtl w:val="0"/>
              </w:rPr>
              <w:t xml:space="preserve"> panta trešajā daļā lietots termins "trokšņa rādītājs". Turklāt Ministru kabineta 2014.gada 7.janvāra noteikumu Nr.16 "Trokšņa novērtēšanas un pārvaldības kārtība" (turpmāk - noteikumi Nr. 16) anotācijas 5. sadaļā un projekta anotācijas 5.sadaļā ietverta pretrunīga informācija par to, kur pārņemta attiecīgā direktīvas norma, kas definē minēto terminu. Attiecīgi lūdzam izvērtēt projekta 2.19. apakšpunkta nepieciešamību un vai nu to svītrot un attiecīgi precizēt projektu, vai anotācijā sniegt izvērstāku skaidrojumu par projekta atbilstību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izvērsts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trokšņu rādītājus un to novērtēšanas metodes trokšņa stratēģisko karšu un rīcības plānu izstrādei;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Terminu “trokšņu rādītājus” aizvietot ar “trokšņu indikatorus”.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Eiropas Parlamenta un Padomes Direktīvas 2002/49/EK (2002. gada 25. jūnijs) par vides trokšņa novērtēšanu un pārvaldību (turpmāk tekstā – Direktīva)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Termina “trokšņa rādītājs” harmonizēšana ar Direktīvas terminoloģiju nepieciešama, jo Latvijas likums nav prioritārs un ar lielāku juridisko spēku par Eiropas Savienības Direktīvu. Termina “trokšņa rādītājs” izcelsme ir likums “Par piesārņojumu” (1.panta 14) punkts), kurā terminam “trokšņu rādītājs” piedēvēta Direktīvā noteiktā termina “trokšņa indikators” definīcija (“trokšņa indikators” nozīmē fizikālu lielumu, ar ko raksturo to troksni vidē, kam ir saistība ar kaitīgām sekām (Direktīvas 3.panta d) apakšpunkts)). Jāņem vērā, ka nestandarta termins “trokšņa indikators” Eiropas Savienībā ir speciāli radīts kā trokšņa ar kaitīgām sekām līmeņa mērs, lai noteiktu kopējas vērtēšanas metodes attiecībā uz vides troksni un trokšņa robežvērtību definīciju, ņemot vērā saskaņotus indikatorus trokšņa līmeņa noteikšanai Lden un Lnight, vai papildus arī Lday un Levening. Piedēvējot terminam “trokšņa rādītājs” (trokšņa raksturotājs, Noise Descriptor) specifiskas, tikai trokšņa kartēšanai paredzētas īpašības – raksturot to troksni, kas rada kaitīgas sekas, tiek radīts tehniski-tiesisks paradokss gadījumā, ja “trokšņa rādītājs” ir mazāks par pieļaujamo robežvērtību un nerada kaitīgas sekas. Tādā gadījumā trokšņa rādītājs (trokšņa raksturotājs, Noise Descriptor) nav uzskatāms par fizikālu lielumu ar mērvienību, šajā gadījumā, decibelu [dB], bet neko neizsakošs skaitlis.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kārtību, kādā nodrošina ar vides troksni saistītās informācijas sniegšanu sabiedrībai un Eiropas Savienības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vides trokšņa kartēšanā izmantojamos vides trokšņa indikatorus un to novērtēšanas metodes;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jēdziena “trokšņa rādītājs” aizvietošana ar “trokšņa indikators” nav pamatota. Eiropas Parlamenta un Padomes Direktīvā 2002/49/EK (2002. gada 25. jūnijs) (turpmāk – Direktīva) jēdziens “indikators” ir lietots kā “rādītājs, kas raksturo troksni noteiktā teritorijā”, nepiesaistot to noteiktai robežvērtībai, un jebkurš indikators ir daļa no plašāka rādītāja klāsta. Konkrētajā gadījumā, kad troksnim nav definēti vēl citi rādītāji, “indikators” un “rādītājs” ir jēdzieniski sinonīmi, un jebkurš indikators ir kaut kāds rādītājs, piemēram, temperatūra, tomēr kļūdaini pieņemt, ka visi rādītāji kļūst par indikatoriem, jo tas tā nav. Primāri mēra vai modelē “rādītāju” kā fizikālu lielumu, kurš kļūst par “indikatoru” tikai noteiktas interpretācijas rezultātā.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piedāvātā 1.5. apakšpunkta redakcija rada zināmu neskaidrību vides kvalitātes normatīvo aktu sistēmā kopumā, kur pamatvienības ir “rādītāji”, “robežlielumi” un “mērķlielumi”.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ieskatā nepieciešama plašāka diskusija par noteikumu projektā lietoto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“vides trokšņa indikators” atbilstoši Direktīvas 2002/49/EK tvērumam izsaka to vides trokšņa raksturlielumu, kas attiecināms uz vides trokšņa kaitīgās vai nevēlamās iedarbības novērtēšanu, veicot trokšņa kartēšanu. Līdz šim vides trokšņa pārvaldībā izmantotais likumā “Par piesārņojumu” 1. panta 14. punktā vispārīgi definētais termins “trokšņa rādītājs” kā fizikāls lielums faktiski norāda par trokšņa klātbūtni neatkarīgi no tā stipruma.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vides aizsardzības jomā nav noteikta vides kvalitātes normatīvu terminoloģija un katrā konkrētā jomā noteiktās terminoloģijas izmantošanu nosaka vairāki faktori (piem,, vēsturiskie, plašs pielietojums noteiktā jomā u.tml.). Terminu izvēli nosaka nepieciešamība pēc iespējas precīzāk izteikt noteiktā jomā lietotos jēdzienus, piemēram, ūdens aizsardzībā izmanto terminus “ūdens kvalitātes normatīvi”, “piesārņojošo vielu robežkoncentrācija”, gaisa aizsardzībā – “gaisa kvalitātes mērķlielums”, “emisijas limits”.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kārtību, kādā nodrošina ar vides troksni saistītās informācijas sniegšanu sabiedrībai un Eiropas Savienības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Satiksmes ministrijas 2021.gada 29.decembra atzinumā ietverto iebildumu par projektā lietoto terminu “trokšņa ietekmētā pašvaldība” (izziņas 4.punkts), ietverot tā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2.22. apakšpunktā  ir pārņemta Noteikumu Nr.16 lietotā termina "trokšņa ietekmētā pašvaldība" definīcija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projektā lietoto terminu "trokšņa ietekmētā pašvaldība" un  tā nozīmi var ļoti plaši interpretēt, piemēram, pašvaldība, kurā ir konstatētas teritorijas ar trokšņa robežlielumu pārsniegumu, pašvaldība, kur trokšņa līmenis ir lielāks par 1. pielikuma 5.5.apakšpunktā minētajām vērtībām, pašvaldība, kuras iedzīvotāji ir sūdzējušies par konkrētā trokšņa avota trokšņa līmeni. Lidostas gadījumā katrs no piemēriem dotu atšķirīgu pašvaldību uzskaitījumu.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šādas interpretācijas iespējas, lūdzam papildināt noteikumu projektu, nosakot, kas tiek saprasts ar jēdzienu “trokšņa ietekmētā pašvaldība”.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tiesību akta projekts vides politikas jomā, tādēļ tajā iekļauto terminu interpretācija nepārsniedz vides politikas jomu. Saskaņā ar likumu "Par ietekmes uz vidi novērtējumu" ietekme uz vidi vispārīgi tiek definēta kā "paredzētās darbības vai plānošanas dokumenta īstenošanas izraisītas tiešas vai netiešas pārmaiņas vidē, kuras ietekmē vai var ietekmēt cilvēku, viņa veselību un drošību, kā arī bioloģisko daudzveidību (īpaši aizsargājamās sugas un to dzīvotnes, īpaši aizsargājamos un Eiropas Savienības nozīmes biotopus), augsni, zemes dzīles, ūdeni, gaisu, klimatu, ainavu, materiālās vērtības, kultūras un dabas mantojumu, iespējamā pakļautība avāriju vai katastrofu riskiem un visu minēto jomu mijiedarbība". Līdz ar to vides trokšņa ietekme novērtējama attiecībā pret vides kvalitātes normatīvu. Secināms, ka trokšņa ietekmētā pašvaldībā trokšņa līmenis pārsniedz noteikumu projekta 1.pielikumā noteiktos vides trokšņa rādītājus (robežlielumus).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akustiskā plānošana - paredzamā trokšņa kontrolēšana, izmantojot plānotus pasākumus, piemēram, teritorijas plānošanu, satiksmes sistēmu projektēšanu, satiksmes plānošanu, kā arī trokšņa samazināšana, veicot skaņas izolācijas pasākumus un kontrolējot troksni tā rašanās avotā;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Terminu “akustiskā plānošana” aizvietot ar “prettrokšņa plānošana”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Direktīvas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Terminam “akustiskā plānošana” piedēvēta Direktīvā noteiktā termina “prettrokšņa plānošana” definīcija visā tās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prettrokšņa plānošana - paredzamā vides trokšņa kontrolēšana, izmantojot plānotus pasākumus, piemēram, teritorijas plānošanu, satiksmes plānošanu, kā arī vides trokšņa samazināšana, veicot skaņas izolācijas pasākumus un kontrolējot troksni tā rašanās avotā;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galvenais autoceļš - reģionālas, valsts vai starptautiskas nozīmes autoceļš, uz kura satiksmes intensitāte ir vairāk nekā trīs miljoni transportlīdzekļu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autoceļiem” 3.panta pirmo daļu visi Latvijas autoceļi pēc to nozīmes iedalāmi: valsts autoceļos, pašvaldību ceļos, komersantu ceļos, māju ceļos. Savukārt likuma “Par autoceļiem” 3.panta trešā daļa noteic, ka valsts autoceļi iedalāmi galvenajos autoceļos, reģionālajos autoceļos un vietējos autoceļos.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2.4.apakšpunktā tiek lietots termins “galvenais autoceļš”, kas ir ļoti tuvs likumā "Par autoceļiem" dotajam terminam “valsts galvenais autoceļš” un noteikumu projekta 2.4.apakšpunktā tiek skaidrots kā reģionālas, valsts vai starptautiskas nozīmes autoceļš.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pretrunas ar likumā "Par autoceļiem" minēto iedalījumu un izvairītos no nepareizas termina “galvenais ceļš” interpretācijas, lūdzam noteikumu projektā lietot terminu “autoceļš” vai izteikt noteikumu projekta 2.4.apakšpunktu jaunā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“galvenais autoceļš - autoceļš, uz kura satiksmes intensitāte ir vairāk nekā trīs miljoni transportlīdzekļu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galvenais autoceļš - autoceļš, uz kura satiksmes intensitāte ir vairāk nekā trīs miljoni transportlīdzekļu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galvenā dzelzceļa līnija - dzelzceļa līnija, uz kuras satiksmes intensitāte ir vairāk nekā 30000 vilcienu sastāvu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līnijas VAS “Latvijas dzelzceļš” infrastruktūrā netiek iedalītas galvenās, mazāk galvenās vai tamlīdzīgi, kā tas, piemēram, ir VAS “Latvijas Valsts ceļi”, kur ceļi tiek iedalīti reģionālajos, valsts vai starptautiskajos.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Direktīvas </w:t>
            </w:r>
            <w:r w:rsidR="00000000" w:rsidRPr="00000000" w:rsidDel="00000000">
              <w:rPr>
                <w:rtl w:val="0"/>
              </w:rPr>
              <w:t xml:space="preserve">2002/49/EK 3. panta definīcijai “galvenā dzelzceļa līnija” nozīmē dalībvalsts izraudzītu dzelzceļa līniju, pa kuru gadā brauc vairāk nekā 30 000 vilcienu sastāvi. Savukārt, ņemot vērā </w:t>
            </w:r>
            <w:r w:rsidR="00000000" w:rsidRPr="00000000" w:rsidDel="00000000">
              <w:rPr>
                <w:rtl w:val="0"/>
              </w:rPr>
              <w:t xml:space="preserve">Direktīvas 2002/49/EK 7. pantu, rodas neskaidrība, jo ar galveno dzelzceļa līniju direktīvas izpratnē ir saprotama līnija, kur satiksmes intensitāte ir gan virs 30 000, gan 60 000 vilcienu sastāvu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skaidrot noteikumu projekta 2.5. apakšpunkta termina un noteikumu projekta 8. un 24. punkta redakcijas konsekvenci un iespējamās pretrunas to formulējumā.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konsekvenci tiesību aktos (Dzelzceļa likums) un izvairītos no šādas neskaidrības, lūdzam noteikumu projektā termina “galvenā dzelzceļa līnija” vietā lietot “dzelzceļa līnija", ar ko saprot līniju, uz kuras satiksmes intensitāte ir vairāk nekā 30 000 vilcienu sastāvu gadā, kā tas ir noteikts MK noteikumos Nr.16.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galvenā dzelzceļa līnija - dzelzceļa līnija, uz kuras satiksmes intensitāte ir vairāk nekā 30000 vilcienu sastāvu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galvenā lidosta - pasažieru lidosta, kurā notiek gaisakuģu pārvietošanās (pacelšanās vai nosēšanās) vairāk nekā 50000 reižu gadā, izņemot pārvietošanos, ko tikai mācību nolūkā veic vieglās lidmašīna;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un tā anotācijā ir daudzas pareizrakstības, gramatikas un neuzmanības kļūdas, attiecīgi lūdzam precizēt noteikumu projektu. Norādām uz biežākajiem trūkumiem: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Neuzmanības kļūdas. Piemēram, noteikumu projekta 2.7. apakšpunktā lietots vārds “lidmašīna” vienskaitlī, kaut gan būtu jābūt daudzskaitlī, noteikumu projekta 2.10. apakšpunkta 1. teikumā semikols nav nepieciešams, kā arī ir pieļauta neuzmanības kļūda vārdā “rādītāja”, savukārt noteikumu projekta 22. punktā vārds “informēšana” izteikts nepareizā locījumā (jābūt “informēšanai”).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Vienskaitļa un daudzskaitļa lietojums. Lai nodrošinātu vienveidīgu terminoloģiju un stilistiku, lūdzam pārskatīt noteikumu projektu un konsekventi lietot terminus vienskaitlī vai daudzskaitlī. Piemēram, noteikumu projekta 1.2. punktā tiek lietots termins “trokšņu rādītāji”, bet 1. pielikuma nosaukumā – “trokšņa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Palīgteikumu neatbilstošs novietojums teikumā. Palīgteikumu novieto aiz vārda, uz kuru tas attiecas (piemēram, noteikumu projekta 4. punktā tam vajadzētu būt aiz vārda “troksni”, nevis “vidē”, savukārt 25.13. apakšpunktā aiz vārda “cilvēku”). Attiecīgi aicinām precizēt teikuma formulējumu (piemēram, izmantojot frāzi “vides troksni,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Vārdu vai teikuma daļu iztrūkums. Piemēram, noteikumu projekta 7. punktā vienu reizi tiek lietots termins “nacionālā standartizācijas institūcija”, bet otro reizi – “nacionālā institūcija”, savukārt 33.5. apakšpunktā beigās acīmredzami iztrūkst teikuma nobeidzošā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Liekvārdība. Piemēram, vārds “atbilstoši” noteikumu projekta 18. un 29. punktā ir lieks.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Nepareizu locījumu lietošana. Piemēram, anotācijas 5.1. sadaļā vārdiem “autoceļu”, “dzelzceļu līniju”, “pasažieru lidostu” būtu jābūt citā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Nepareizs atstarpju lietojums. Piemēram, saskaņā ar juridiskās tehnikas prasībām noteikumu projekta 28. punktā vajadzētu lietot vārdu “darba dienu”, nevis “darbadienu”.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galvenā lidosta - pasažieru lidosta, kurā notiek gaisakuģu pārvietošanās (pacelšanās vai nosēšanās) vairāk nekā 50000 reižu gadā, izņemot pārvietošanos, ko tikai mācību nolūkā veic vieglās lidmašīnas;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klusais rajons aglomerācijā - attiecīgās aglomerācijas pašvaldības noteikta teritorija, kur trokšņa indikatoru vērtība ir mazāka par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4.punktā noteiktajiem vides trokšņa robežlielumiem;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ņemot vērā projekta 2.8. un 2.9. apakšpunktā definētos terminus, projektā paredzētais regulējums ir pietiekams, tostarp attiecībā uz to, ar kādu dokumentu pašvaldība nosaka attiecīgu teritoriju (salīdzinājumam lūdzam sk. noteikumu Nr. 16 regulējumu, piemēram, 8. punktu). Projektā nav vairs arī ietverta iepriekšējā saskaņošanā nodotajā projekta redakcijā ietvertajam 48. punktam atbilstoša norma (sk. arī noteikumu Nr. 16 8.2.1. un 8.2.2. apakšpunktu). Vēršam turklāt uzmanību, ka projekta 2.9. apakšpunktā definētais termins projektā, šķiet, vispār vairs netiek lietots, kā arī noteikumu Nr. 16 8.2.2. tas tika definēts konkrētāk, norādot arī uz trokšņu rādītāja vērtību. Attiecīgi lūdzam izvērtēt un precizēt projektu vai sniegt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termina definīcija noteikumu projekta 2.9. apakšpunktā. Attiecībā par šobrīd spēkā esošo MK noteikumu Nr. 16 8. punktā iekļauto regulējumu sniedzam skaidrojumu, ka noteikuma projektā ietvertais regulējums par vides trokšņa stratēģisko kartēšanu un rīcības plānu izstrādi ir attiecināms tikai uz noteiktiem augstas intensitātes satiksmes infrastruktūras objektiem un aglomerāciju (administratīvā teritorija, kurā iedzīvotāju skaits pārsniedz 100 000 un iedzīvotāju blīvums pārsniedz 500 iedzīvotāju uz vienu kvadrātkilometru.). Šobrīd spēkā esošo MK noteikumu Nr. 16 8.2.1. un 8.2.2. apakšpunktos iekļautā prasība, ka klusās teritorijas ir iekļaujamas rīcības plānā pēc būtības ir lieka norma, jo tiek dublēta ar MK noteikumu Nr. 16 37.10. apakšpunktā noteikto par kluso teritoriju iekļaušanu rīcības plānā. Norādāms, ka noteikumu projektā ir iekļautas prasības attiecībā uz rīcības plāna saturu, tai skaitā, par kluso rajonu iekļaušanu (noteikumu projekta 27.9. apakšpunkts). Ņemot vērā, ka šobrīd ar aktuālo regulējumu teritoriju plānošanā (Ministru kabineta 2013. gada 30. aprīļa noteikumu Nr. 240 “Vispārīgie teritorijas plānošanas, izmantošanas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apbūves noteikumi” (turpmāk – MK noteikumi Nr. 240) 2020. gada 16. oktobra redakcija) tiek nodrošinātas vides trokšņa stratēģisko karšu ievērtēšana teritoriju attīstības plānošanā, izmantošanā un apbūvē, noteikumu projektā netiek iekļautas dublējošas normas - noteikt trokšņa avotiem drošības attālumus līdz dzīvojamai un publiskai apbūvei (teritorijas ar izmantošanas aprobežojumiem), noteikt pasākumus trokšņa mazināšanai trokšņa avotu tuvumā, izvirzīt nosacījumus par aizsardzību pret troksni jaunu teritoriju plānošanā un trokšņa stratēģisko karšu ievērtēšanu teritorijas plānojumā. Norādāms, ka tiesību normas attiecībā uz vides trokšņa kartēšanu noteikumu projektā un MK noteikumos Nr. 240 ir harmonizētas, t.i., tām ir vienāds tvērums. Jāņem vērā, ka minētās prasības par aizsardzību pret troksni saistošajos noteikumos nebija spēkā MK noteikumu Nr. 16 izdošanas laikā (2014.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klusais rajons aglomerācijā - attiecīgās aglomerācijas pašvaldības noteikta teritorija, kur trokšņa indikatoru vērtība ir mazāka par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4.punktā noteiktajiem vides trokšņa robežlielumiem (turpmāk - klusā teritorija);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kaitīgās sekas - vides trokšņa radītā negatīvā ietekme uz cilvēka veselību;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Terminu “kaitīgās sekas” aizvietot ar “kaitīgas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Direktīvas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Terminam “kaitīgās sekas” piedēvēta Direktīvā noteiktā termina “kaitīgas sekas” definīcija visā tās pilnībā.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kaitīgas sekas - vides trokšņa radītā negatīvā ietekme uz cilvēka veselību;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klusais rajons aglomerācijā - attiecīgās pašvaldības noteikta teritorija, kur trokšņa rādītāja vērtība ir mazāka par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5. punktā attiecīgajai apbūves teritorijai noteikto trokšņa rādītāja vērtību;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esošajos Ministru kabineta 2014. gada 7. janvāra noteikumos Nr. 16  noteikts, ja attiecīgajā teritorijā autoceļam, dzelzceļa līnijai vai lidostai ir izstrādātas trokšņa stratēģiskās kartes un rīcības plāns, pašvaldība, nosakot klusos rajonus apdzīvotā vietā, saskaņo tos ar Satiksmes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paredzēts šāds saskaņojums (Noteikumu projekta 2.9.apakšpunkta definīcija), bet klusajiem rajoniem lauku apvidū ir paredzēts šāds saskaņojums (Noteikumu projekta 2.10.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nav sniegts pamatojums šādām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saglabāt esošo kārtību, ka visu kluso rajonu izveide teritorijās, kurās ir izstrādāta trokšņa stratēģiskā karte, ir saskaņojama ar Satiksmes ministriju.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sadaļa "Noslēguma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klusais rajons aglomerācijā - attiecīgās aglomerācijas pašvaldības noteikta teritorija, kur trokšņa indikatoru vērtība ir mazāka par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4.punktā noteiktajiem vides trokšņa robežlielumiem (turpmāk - klusā teritorija);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klusais rajons aglomerācijā - attiecīgās pašvaldības noteikta teritorija, kur trokšņa rādītāja vērtība ir mazāka par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5. punktā attiecīgajai apbūves teritorijai noteikto trokšņa rādītāja vērtību;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Terminu “trokšņu rādītājs” aizvietot ar terminu “trokšņu indikators”.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Direktīvas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klusais rajons aglomerācijā - attiecīgās aglomerācijas pašvaldības noteikta teritorija, kur trokšņa indikatoru vērtība ir mazāka par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4.punktā noteiktajiem vides trokšņa robežlielumiem (turpmāk - klusā teritorija);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klusais rajons lauku apvidū - attiecīgās pašvaldības noteikta teritorija lauku apvidū, kurā nav satiksmes, rūpnieciskās darbības vai atpūtas pasākumu radīta trokšņa; un kur trokšņa rādītāja vērtība ir mazāka par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5. punktā attiecīgajai apbūves teritorijai noteikto trokšņa rāditāja vērtību. Ja attiecīgajā teritorijā galvenajam autoceļam, galvenajai dzelzceļa līnijai vai galvenajai lidostai ir izstrādātas trokšņa stratēģiskās kartes un rīcības plāns, pašvaldība, nosakot klusos rajonus lauku apvidū, saskaņo to ar attiecīgā transporta infrastruktūras objekta pārvaldītāju;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2002. gada 25. jūnija Direktīvas 2002/49/EK par vides trokšņa novērtēšanu un pārvaldību (turpmāk - Direktīva 2002/49/EK) 3. panta m) punktā noteikts, ka “kluss rajons, kas atrodas laukos” nozīmē kompetentās iestādes norobežotu rajonu, kurā nav satiksmes, rūpniecības vai atpūtas pasākumu radīta trokšņa. Noteikumu projekta 2.10. apakšpunktā termins “klusais rajons lauku apvidū” skaidrots atbilstoši minētajai direktīvas definīcijai, papildus paredzot nosacījumu “un kur trokšņa rādītāja vērtība ir mazāka par šo noteikumu 1. pielikuma 5. punktā attiecīgajai apbūves teritorijai noteikto trokšņa rāditāja vērtību”. Attiecīgi, lai pārliecinātos par minētās direktīvās mērķu sasniegšanu, lūdzam skaidrot šāda papildteikuma ietveršanas nepieciešamību termina skaidrojumā un atbilstību minētajai direktīvai.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termina "klusais rajons lauku apvidū" skaidrojums atbilstoši Direktīvas 2002/49/EK 3.panta m) punktam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klusais rajons lauku apvidū - attiecīgās aglomerācijas pašvaldības noteikta teritorija lauku apvidū, kurā nav satiksmes, rūpnieciskās darbības vai atpūtas pasākumu radīta vides trokšņa, un kur trokšņa indikatoru vērtība ir mazāka par šo noteikumu 1. pielikuma 4.punktā noteiktajiem vides trokšņa robežlielumiem (turpmāk - klusā teritorija);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klusais rajons lauku apvidū - attiecīgās pašvaldības noteikta teritorija lauku apvidū, kurā nav satiksmes, rūpnieciskās darbības vai atpūtas pasākumu radīta trokšņa; un kur trokšņa rādītāja vērtība ir mazāka par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5. punktā attiecīgajai apbūves teritorijai noteikto trokšņa rāditāja vērtību. Ja attiecīgajā teritorijā galvenajam autoceļam, galvenajai dzelzceļa līnijai vai galvenajai lidostai ir izstrādātas trokšņa stratēģiskās kartes un rīcības plāns, pašvaldība, nosakot klusos rajonus lauku apvidū, saskaņo to ar attiecīgā transporta infrastruktūras objekta pārvaldītāju;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noteikumu projekta uztveramību, lūdzam pilnveidot noteikumu projektu, kā arī tā pielikumus, nodrošinot secīgu, loģisku un stilistiski vienotu noteikuma satura izklāstu.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2.10. punkta 2. teikums būtībā jau vairs nav termina skaidrojums un stilistiski labāk iederētos citviet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Teikumu formulējums nereti padara noteikumu projekta tekstu smagnēju un grūti uztveramu. Piemēram, noteikumu projekta 7. punktā viena gara teikuma vietā aicinām veidot vairākus 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Formulējot noteikumu projekta normas, nereti nav ievērota vienāda stilistika (sk., piemēram, 8. un 23. punkta formulējumus).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klusais rajons lauku apvidū - attiecīgās aglomerācijas pašvaldības noteikta teritorija lauku apvidū, kurā nav satiksmes, rūpnieciskās darbības vai atpūtas pasākumu radīta vides trokšņa, un kur trokšņa indikatoru vērtība ir mazāka par šo noteikumu 1. pielikuma 4.punktā noteiktajiem vides trokšņa robežlielumiem (turpmāk - klusā teritorija);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klusais rajons lauku apvidū - attiecīgās pašvaldības noteikta teritorija lauku apvidū, kurā nav satiksmes, rūpnieciskās darbības vai atpūtas pasākumu radīta trokšņa; un kur trokšņa rādītāja vērtība ir mazāka par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5. punktā attiecīgajai apbūves teritorijai noteikto trokšņa rāditāja vērtību. Ja attiecīgajā teritorijā galvenajam autoceļam, galvenajai dzelzceļa līnijai vai galvenajai lidostai ir izstrādātas trokšņa stratēģiskās kartes un rīcības plāns, pašvaldība, nosakot klusos rajonus lauku apvidū, saskaņo to ar attiecīgā transporta infrastruktūras objekta pārvaldītāju;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Terminu “trokšņu rādītājs” aizvietot ar terminu “trokšņu indikators”.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Direktīvas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precizēta definīcija "klusais rajons lauku apvidū"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klusais rajons lauku apvidū - attiecīgās aglomerācijas pašvaldības noteikta teritorija lauku apvidū, kurā nav satiksmes, rūpnieciskās darbības vai atpūtas pasākumu radīta vides trokšņa, un kur trokšņa indikatoru vērtība ir mazāka par šo noteikumu 1. pielikuma 4.punktā noteiktajiem vides trokšņa robežlielumiem (turpmāk - klusā teritorija);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novērtējums - trokšņa rādītāju vai ar troksni saistīto kaitīgo seku mērīšana, aprēķināšana un prognozēšana;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Terminu “trokšņu rādītājs” aizvietot ar terminu “trokšņu indikators”.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Direktīvas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novērtēšana - vides trokšņa indikatora vērtības vai ar vides troksni saistīto kaitīgo seku mērīšana, aprēķināšana un prognozēšana;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L</w:t>
            </w:r>
            <w:r w:rsidR="00000000" w:rsidRPr="00000000" w:rsidDel="00000000">
              <w:rPr>
                <w:vertAlign w:val="subscript"/>
                <w:rtl w:val="0"/>
              </w:rPr>
              <w:t xml:space="preserve">night</w:t>
            </w:r>
            <w:r w:rsidR="00000000" w:rsidRPr="00000000" w:rsidDel="00000000">
              <w:rPr>
                <w:rtl w:val="0"/>
              </w:rPr>
              <w:t xml:space="preserve"> (nakts trokšņa indikators) - vides trokšņa indikators, kas raksturo vides trokšņa radīto diskomfortu un sīkāk definēts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2.12. apakšpunktu, norādot, ka indikators raksturo vides trokšņa radīto diskomfortu naktī.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normatīvā akta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L</w:t>
            </w:r>
            <w:r w:rsidR="00000000" w:rsidRPr="00000000" w:rsidDel="00000000">
              <w:rPr>
                <w:vertAlign w:val="subscript"/>
                <w:rtl w:val="0"/>
              </w:rPr>
              <w:t xml:space="preserve">night</w:t>
            </w:r>
            <w:r w:rsidR="00000000" w:rsidRPr="00000000" w:rsidDel="00000000">
              <w:rPr>
                <w:rtl w:val="0"/>
              </w:rPr>
              <w:t xml:space="preserve"> (nakts trokšņa indikators) - vides trokšņa indikators, kas raksturo vides trokšņa radīto diskomfortu un sīkāk definēts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rīcības plāns – pasākumu plāns, kuru izstrādā, balstoties uz trokšņa stratēģiskās kartes rezultātiem, lai pārvaldītu vides trokšņa problēmas un tā ietekmi, ar mērķi novērst vai, ja tas nepieciešams, samazināt vides troksni, vai saglabāt esošo stāvokli teritorijās, kurās trokšņa rādītāji atbilst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5.punktam;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Terminu “trokšņu rādītājs” aizvietot ar terminu “trokšņu indikators”.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Direktīvas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rīcības plāns – pasākumu plāns, kuru izstrādā, balstoties uz vides trokšņa stratēģiskās kartes rezultātiem, lai pārvaldītu vides trokšņa problēmas un tā ietekmi, ar mērķi novērst vai, ja tas nepieciešams, samazināt vides troksni, vai saglabāt esošo stāvokli teritorijās, kurās vides trokšņa  indikatoru vērtības atbilst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4.punktam;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trokšņa robežlielums - pieļaujamā trokšņa rādītāja vērtība, kuru pārsniedzot attiecīgā institūcija izskata iespēju veikt vai veic pasākumus, kas samazina trokšņa rādītāja vērtību;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2002. gada 25. jūnija Direktīvā 2002/49/EK par vides trokšņa novērtēšanu un pārvaldību minētie normatīvie lielumi ir uzskatāmi par mērķlielumiem. Aicinām visur tekstā terminu vides trokšņa “robežlielumi” aizstāt ar “mērķlielumi” attiecīgajā locījumā.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pārņemta Direktīvas 2002/49/EK terminoloģija. Noteikumu projekta 1.pielikumā 5. punktā ir norādīts, ka noteikumu projektā minētie robežlielumi ir izmantojami trokšņa stratēģisko karšu izstrādē.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 vides trokšņa robežlielums - vides trokšņa indikatora vērtība, kuru pārsniedzot attiecīgā institūcija veic pasākumus vides trokšņa indikatora vērtības samazināšanai;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trokšņa robežlielums - pieļaujamā trokšņa rādītāja vērtība, kuru pārsniedzot attiecīgā institūcija izskata iespēju veikt vai veic pasākumus, kas samazina trokšņa rādītāja vērtību;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Terminu “trokšņa robežlielums”  aizvietot ar “trokšņa robežvērtība”.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Direktīvas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piesārņojumu" 13.pantu vides kvalitātes normatīvus iedala robežlielumos un mērķlielumos. Lai piesārņojuma regulējumā nodrošinātu vienotu terminoloģiju noteikumu projektā ietverts termins "robežlielums" un tā jēga atbilst Direktīvas 2002/49/EK termina "robežvērtība" definīcijai. Līdz ar to secināms, ka 2004. gadā, pārņemot Direktīvu 2002/49/EK nacionālā likumdošanā,  ir nodrošināta termina "robežvērtība" pārņemšana  pēc būtības, kā arī līdz šim termins "robežlielums" ir piemērots atbilstoši Direktīvā 2002/49/EK noteiktajam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 vides trokšņa robežlielums - vides trokšņa indikatora vērtība, kuru pārsniedzot attiecīgā institūcija veic pasākumus vides trokšņa indikatora vērtības samazināšanai;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trokšņa un iedarbības sakarība - sakarība starp trokšņa rādītāja vērtību un trokšņa radītajām kaitīgajām sekām;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kopu: “</w:t>
            </w:r>
            <w:r w:rsidR="00000000" w:rsidRPr="00000000" w:rsidDel="00000000">
              <w:rPr>
                <w:b w:val="1"/>
                <w:rtl w:val="0"/>
              </w:rPr>
              <w:t xml:space="preserve">trokšņa un iedarbības sakarība” izteikt kā “trokšņa devas (enerģijas) un iedarbības sakarība”.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Direktīvas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Direktīvā 2002/49/EK termina "devas-iedarbības attiecība" definēta kā "attiecība starp trokšņa indikatora vērtību un kaitīgu izpausmi", bet nav izmantots termins "trokšņa deva (enerģija)". Secināms, ka  2004. gadā, pārņemot Direktīvu 2002/49/EK nacionālā likumdošanā ir nodrošināta termina "devas-iedarbības attiecība" pārņemšana  pēc būtības, kā arī līdz šim termins "trokšņa un iedarbības sakarība" ir piemērots atbilstoši Direktīvā 2002/49/EK noteiktajam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vides trokšņa un iedarbības sakarība - sakarība starp vides trokšņa indikatora vērtību un vides trokšņa radītajām kaitīgām sekām;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mājoklis ar īpašu skaņas izolāciju – ēka, kas aprīkota ar īpašu skaņas izolāciju pret viena veida vai vairāku veidu vides trokšņiem un tādām ventilācijas vai gaisa kondicionēšanas iekārtām, kas dod iespēju pastāvīgi saglabāt izolētību no vides trokšņa;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terminus konsekventi skaidrot alfabētiskā vai loģiskā secībā atbilstoši MK noteikumu Nr. 108 41. punktam (piemēram, 2.15. un 2.16. apakšpunkti ir iekļauti beigās, kaut arī alfabētiski būtu iekļaujami citviet).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mājoklis ar īpašu skaņas izolāciju – ēka, kas aprīkota ar īpašu skaņas izolāciju pret viena veida vai vairāku veidu trokšņiem un tādām ventilācijas vai gaisa kondicionēšanas iekārtām, kas dod iespēju pastāvīgi saglabāt izolētību no vides trokšņa;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mājoklis ar klusu fasādi – ēka, pie kuras fasādes konkrēta trokšņa rādītāja L</w:t>
            </w:r>
            <w:r w:rsidR="00000000" w:rsidRPr="00000000" w:rsidDel="00000000">
              <w:rPr>
                <w:vertAlign w:val="subscript"/>
                <w:rtl w:val="0"/>
              </w:rPr>
              <w:t xml:space="preserve">den</w:t>
            </w:r>
            <w:r w:rsidR="00000000" w:rsidRPr="00000000" w:rsidDel="00000000">
              <w:rPr>
                <w:rtl w:val="0"/>
              </w:rPr>
              <w:t xml:space="preserve"> vērtība, kas noteikta 4 m augstumā virs zemes un 2 m attālumā no fasādes, ir vairāk nekā par 20 dB(A) zemāka kā pie fasādes ar visaugstāko trokšņa rādītāja L</w:t>
            </w:r>
            <w:r w:rsidR="00000000" w:rsidRPr="00000000" w:rsidDel="00000000">
              <w:rPr>
                <w:vertAlign w:val="subscript"/>
                <w:rtl w:val="0"/>
              </w:rPr>
              <w:t xml:space="preserve">den</w:t>
            </w:r>
            <w:r w:rsidR="00000000" w:rsidRPr="00000000" w:rsidDel="00000000">
              <w:rPr>
                <w:rtl w:val="0"/>
              </w:rPr>
              <w:t xml:space="preserve"> vērtību.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Terminu “trokšņu rādītājs” aizvietot ar terminu “trokšņu indikators”.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Direktīvas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mājoklis ar klusu fasādi – ēka, pie kuras fasādes konkrēta vides trokšņa indikatora L</w:t>
            </w:r>
            <w:r w:rsidR="00000000" w:rsidRPr="00000000" w:rsidDel="00000000">
              <w:rPr>
                <w:vertAlign w:val="subscript"/>
                <w:rtl w:val="0"/>
              </w:rPr>
              <w:t xml:space="preserve">den</w:t>
            </w:r>
            <w:r w:rsidR="00000000" w:rsidRPr="00000000" w:rsidDel="00000000">
              <w:rPr>
                <w:rtl w:val="0"/>
              </w:rPr>
              <w:t xml:space="preserve"> vērtība, kas noteikta 4 m augstumā virs zemes un 2 m attālumā no fasādes, ir vairāk nekā par 20 dB(A) zemāka kā pie fasādes ar visaugstāko vides trokšņa indikatora L</w:t>
            </w:r>
            <w:r w:rsidR="00000000" w:rsidRPr="00000000" w:rsidDel="00000000">
              <w:rPr>
                <w:vertAlign w:val="subscript"/>
                <w:rtl w:val="0"/>
              </w:rPr>
              <w:t xml:space="preserve">den</w:t>
            </w:r>
            <w:r w:rsidR="00000000" w:rsidRPr="00000000" w:rsidDel="00000000">
              <w:rPr>
                <w:rtl w:val="0"/>
              </w:rPr>
              <w:t xml:space="preserve"> vērtību.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prettrokšņa plānošana - paredzamā vides trokšņa kontrolēšana, izmantojot plānotus pasākumus, piemēram, teritorijas plānošanu, satiksmes plānošanu, kā arī vides trokšņa samazināšana, veicot skaņas izolācijas pasākumus un kontrolējot troksni tā rašanās avotā;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2.17. apakšpunktā definētais termins "prettrokšņa plānošana" tālāk projektā, šķiet, netiek izmantots. Attiecīgi lūdzam terminu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secināms, ka termins "pretrokšņa plānošana" tiek izmantots noteikumu projekta 1.pielikumā.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prettrokšņa plānošana - paredzamā vides trokšņa kontrolēšana, izmantojot plānotus pasākumus, piemēram, teritorijas plānošanu, satiksmes plānošanu, kā arī vides trokšņa samazināšana, veicot skaņas izolācijas pasākumus un kontrolējot troksni tā rašanās avotā;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prettrokšņa plānošana - paredzamā vides trokšņa kontrolēšana, izmantojot plānotus pasākumus, piemēram, teritorijas plānošanu, satiksmes sistēmu projektēšanu, satiksmes plānošanu, kā arī vides trokšņa samazināšana, veicot skaņas izolācijas pasākumus un kontrolējot troksni tā rašanās avotā;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vai kāds cits tiesību akts nenosaka, ko saprot ar terminu “satiksmes sistēmas”, lūdzam skaidrot, ko noteikuma projekta ietvaros saprot ar terminu “satiksmes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prettrokšņa plānošana - paredzamā vides trokšņa kontrolēšana, izmantojot plānotus pasākumus, piemēram, teritorijas plānošanu, satiksmes plānošanu, kā arī vides trokšņa samazināšana, veicot skaņas izolācijas pasākumus un kontrolējot troksni tā rašanās avotā;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 vides trokšņa robežlielums - vides trokšņa indikatora vērtība, kuru pārsniedzot attiecīgā institūcija izskata iespēju veikt vai veic pasākumus vides trokšņa indikatora vērtības samazināšanai;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2.20. apakšpunktā svītrot “izskata iespēju”, jo mērķtiecīga pasākumu veikšana trokšņa  samazināšanai būtiski atšķiras no ”iespējas izskatīšanas” un iespējamas pasākumu nerealizēšanas.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trokšņa robežlielums - vides trokšņa indikatora vērtība (robežlielums), kas noteikta šo noteikumu pielikumā un, kuru pārsniedzot, attiecīgā institūcija veic pasākumus vides trokšņa indikatora vērtības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 vides trokšņa robežlielums - vides trokšņa indikatora vērtība, kuru pārsniedzot attiecīgā institūcija veic pasākumus vides trokšņa indikatora vērtības samazināšanai;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 vides trokšņa indikators -  fizikāls lielums, ar kuru raksturo troksni, kas var radīt kaitīgas sekas;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termina “vides trokšņa indikators” lietošanu un definēšanu, vēršam uzmanību, ka likuma “Par piesārņojumu” 1. panta 14. punkts jau definē šo terminu, turklāt definē to identiski tāpat kā noteikumu projekta 2.20. apakšpunkts (trokšņa rādītājs — fizikāls lielums, ar kuru raksturo troksni, kas var radīt kaitīgas sekas). Vēršam uzmanību, ka saskaņā ar MK noteikumu Nr. 108 121. punktu noteikumu projektā terminus skaidro, lai konkretizētu terminā izteiktā jēdziena izpratnes robežas, ja termins nav skaidrots vai lietots augstāka juridiskā spēka normatīvajā aktā. Par atbilstību ES prasībām norādām, ka, lai ieviestu ES tiesības nacionālajā tiesību sistēmā, nav obligāti, lai to saturs skaidri un detalizēti formālā un tekstuālā ziņā tiktu pārņemts normatīvajos vai administratīvajos aktos. Norādām, ka šajā gadījumā, kad termins jau ir lietots un definēts likumā, nepieciešams ievērot vienveidīgu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termina “vides trokšņa indikators” definīcija, kas izsaka vides trokšņa pārvaldības jomā izmantoto jēdzienu attiecībā uz negatīvās ietekmes uz cilvēka veselību raksturošanu.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 vides trokšņa indikators - fizikāls vides trokšņa raksturlielums, kas attiecināms uz vides trokšņa negatīvo ietekmi uz cilvēka veselību;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Noteikumi neattiecas uz: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sniegto informāciju par saistīto tiesību aktu projektu izstrādi un virzību, aicinām izvērtēt, vai noteikumu projekta 4. punkts pietiekami izsmeļoši uzskaita gadījumus, uz kuriem noteikumi neattiecas, un vai tas nav precizējams vai papildināms, ņemot vērā saistītajos tiesību aktu projektos iekļauto regulējumu. Papildus, lai būtu skaidras izmaiņas (salīdzinot ar iepriekšējo regulējumu), lūdzam anotācijā skaidrot pēc iespējas pilnīgāk visus MK noteikumu Nr. 16 2. punktā paredzētos gadījumus, skaidrojot, vai un kāpēc attiecīgais gadījums ir vai nav paredzēts noteikumu projekta 4.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anotācijas 1.3.punktā sadaļu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Noteikumi neattiecas uz: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Noteikumi neattiecas uz: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VM 22.12.2021. iebildumu, jo normatīvo aktu prasībām jābūt skaidrām un nepārprotamām, bet plašāks skaidrojums ar jomu uzskaitījumu, uz kurām noteikumu projekta prasības neattiecas, padarītu skaidrāku noteikumu mērķi arī sabiedrībai kopumā.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ar mērķi noteikt kārtību, kādā izstrādā vides trokšņa stratēģiskās kartes un rīcības plānus vides trokšņa pārvaldībai (turpmāk – rīcības plāni). Norādāms, ka prasība par vides trokšņa stratēģisko karšu un rīcības plānu izstrādi ir attiecināma uz augstas intensitātes satiksmes infrastruktūrām un lielām aglomerācijām atbilstoši Direktīvā 2002/49/EK noteiktajiem kritērijiem. Noteikumu projekta 4. punktā ietvertais uzskaitījums, cik tālu tas attiecas uz vides trokšņa stratēģisko karšu un rīcības plānu izstrādi, ir skaidrs un nepārprotams.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Noteikumi neattiecas uz: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Noteikumi neattiecas uz: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4. punktā, kas noteic gadījumus, uz kuriem noteikumi neattiecas, nav iekļauti vairāki gadījumi, kuri ir iekļauti Ministru kabineta 2014. gada 7. janvāra noteikumos Nr. 16 “Trokšņa novērtēšanas un pārvaldības kārtība” 2. punktā (sk. 2.4.-2.8. apakšpunktu). Vēršam arī uzmanību, ka 4. punktā uzskaitītie gadījumi atbilst Direktīvas 2002/49/EK 2. panta 2. punktam, izņemot vienu – 4. punktā nav minēts “kaimiņu radītais troksnis”. Attiecīgi lūdzam skaidrot, kādēļ pastāv minētās atšķirības un kādēļ konkrētie gadījumi ir vai nav ietverti noteikumu projekta 4.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vides trokšņa stratēģisko karšu un rīcības plānu izstrādi atbilstoši Direktīvas 2002/49/EK, līdz ar to 4.punktā iekļauti gadījumi, kuri noteikti Direktīvas 2002/49/EK 2.panta 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2014.gada 7.janvāra noteikumi Nr.16 "Trokšņa novērtēšanas un pārvaldības kārtība" (turpmāk - MK noteikumi Nr. 16) ietver prasības ne tikai attiecībā uz vides trokšņa stratēģisko karšu un rīcības plānu izstrādi, bet arī attiecībā, piemēram, uz trokšņa novērtēšanu telpās, satiksmes un rūpniecisko objektu radīto vides troksni. MK noteikumos Nr.16 uzskaitītie gadījumi, uz kuriem nav attiecināmas prasības par vides trokšņa kartēšanu un rīcības plānu izstrādi un kuri nav iekļauti šajā noteikumu projektā, ir iekļauti noteikumu projektā "Satiksmes un rūpniecisko objektu vides trokšņa pārvaldība" (21-TA-871)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Noteikumi neattiecas uz: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Noteikumi neattiecas uz: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paplašināt jomas, uz kurām noteikumi neattiecas, analoģiski, kā šobrīd ir noteikts Ministru Kabineta noteikumos Nr. 16 “Trokšņa novērtēšanas un pārvaldības kārtība”, jo pretējā gadījumā būtu jākartē arī visu citu tajos uzskaitīto trokšņu avotu ietekme.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trokšņa stratēģisko karšu un rīcības plānu izstrādi atbilstoši Direktīvas 2002/49/EK prasībām.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Noteikumi neattiecas uz: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sadzīves troksni, tai skaitā, kaimiņu radīto troksni;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VM 22.12.2021. iebildumu. Uzskatām, ka noteikumu projekta 4.2. apakšpunkta piedāvātā jaunā redakcija ievērojami sašaurina apakšpunkta tvērumu, pilnībā izslēdzot sabiedriskajās izklaides un atpūtas vietās, piemēram, āra kafejnīcās, radīto mūzikas atskaņošanas troksni. VM ieskatā tiesībām pieprasīt trokšņa kartēšanu jābūt arī personām, kuru dzīvesvieta ir blakus vai netālu no izklaides vietām. Vēršam uzmanību, ka izklaides vietu pastāvīgi radīts mūzikas atskaņošanas troksnis vispārpieņemtajā izpratnē nav definējams kā sadzīves troksnis, ko parasti cits citam rada kaimiņi.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ar mērķi noteikt kārtību, kādā izstrādā vides trokšņa stratēģiskās kartes un rīcības plānus vides trokšņa pārvaldībai (turpmāk – rīcības plāni). Norādāms, ka prasība par vides trokšņa stratēģisko karšu un rīcības plānu izstrādi ir attiecināma uz augstas intensitātes satiksmes infrastruktūrām un lielām aglomerācijām atbilstoši Direktīvā 2002/49/EK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Trokšņa stratēģisko karšu izstrādē izmantojamās, ar Direktīvu 2002/49/EK noteiktās kopējās trokšņa novērtēšanas (aprēķinu) metodes ir statistiski nozīmīgas attiecībā uz Direktīvas 2002/49/EK tvērumu, t.i., lai iegūtu ticamus rezultātus un pareizu to interpretāciju, nepieciešamas noteikta apjoma un kvalitātes datu kopas. Norādāms, ka trokšņa stratēģisko karšu izstrādē netiek novērtēta trokšņa ietekme uz konkrētu mājokli vai dzīvesvietu, bet gan tiek raksturoti vides trokšņa ietekmes riski uz sabiedrības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sadzīves troksni, tai skaitā, kaimiņu radīto troksni;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sadzīves troksni;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4.2.apakšpunktu un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"sadzīves troksni </w:t>
            </w:r>
            <w:r w:rsidR="00000000" w:rsidRPr="00000000" w:rsidDel="00000000">
              <w:rPr>
                <w:u w:val="single"/>
                <w:rtl w:val="0"/>
              </w:rPr>
              <w:t xml:space="preserve">un mūzikas atskaņošanas troksni</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trokšņa stratēģisko karšu un rīcības plānu izstrādi atbilstoši Direktīvas 2002/49/EK prasībām. Sniegts papildu skaidrojums par Direktīvā 2002/49/EK tvērumu attiecībā uz sadzīves, tai skaitā, kaimiņu radīto troksni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sadzīves troksni, tai skaitā, kaimiņu radīto troksni;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militārās darbības radīto troksni militāro uzdevumu īstenošanas vietās.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vienveidīgu regulējuma piemērošanu, lūdzam noteikumu projekta anotācijā skaidrot noteikumu projekta 4.4. apakšpunktā ietverto jēdzienu “militārās darbības radīto troksni militāro uzdevumu īstenošanas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4.4.apakšpunktā definētais izņēmums ir attiecināms , piemēram, uz šādu veidu militāro lidojumu radīto troksni: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iznīcinātāju, kas mācību nolūkos veic nosēšanos ar tūlītēju pacelšanos manevrus, radīto troksni;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iznīcinātāju radīto troksni, izmantojot arī citu lidostas infrastruktūru un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militāro transporta gaisa kuģu radīto troksni.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4.4.apakšpunktā precīzi ir pārņemts Direktīvas 2002/49/EK piemērošanas izņemuma nosacījumus. Papildināta noteikumu projekta anotācija par 4.4. apakšpunktā minētā izņēmuma piemērošanu attiecībā uz civilās satiksmes infrastruktūras objektu izmantošanu militāro uzdevumu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militārās darbības radīto troksni militāro uzdevumu īstenošanas vietās.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Trokšņa stratēģisko karšu un rīcības plānu izstrādē izmanto šādus trokšņa rādītājus, kurus nosaka saskaņā ar šo noteikumu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  un novērtē saskaņā ar Komisijas 2015. gada 19. maija Direktīvā (ES) 2015/996 un Komisijas 2020. gada 21. decembra Deleģētajā direktīvā (ES) 2021/1226 noteiktajām kopīgām trokšņa novērtēšanas metodēm: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un 13. punktā ir iekļautas atsauces uz Eiropas Savienības direktīvām. Vēršam uzmanību, ka saskaņā ar MK noteikumu Nr. 108 4. nodaļu šādas atsauces Latvijas tiesību sistēmā uz direktīvām nedrīkst veidot. Saskaņā ar Līguma par Eiropas Savienības darbību 288. panta trešo daļu direktīvas tām dalībvalstīm, kurām tās adresētas, uzliek saistības attiecībā uz sasniedzamo rezultātu, bet ļauj šo valstu varasiestādēm noteikt to īstenošanas formas un metodes. No minētā izriet, ka direktīvas ir saistošas tikai dalībvalstīm un nav tieši piemērojamas attiecībā uz privātpersonām - privātpersonām tās kļūst saistošas tikai ar to satura ietveršanu (pārņemšanu) nacionālajā normatīvajā regulējumā. Attiecīgi lūdzam precizēt noteikumu projektu, svītrojot atsauces uz direktīvām, kā arī korekti pārņemt 13. punktā minēto direktīvu pielikumu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projekta 5. un 13.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Direktīvas (ES) 2015/996 ietvertās normas ir precīzas un viennozīmīgas, tā ietver noteiktus formulējumus un beznosacījuma normas (matemātiskās aprēķinu formulas, tehniskos zīmējumus un grafikus, kas atspoguļo, piemēram, skaņas izplatīšanas ģeometriju, kā arī aprēķinos izmantojamo koeficientu tabulas), ir piemērots izņēmums pārņemt direktīvas normas ar 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(ES) 2015/996 normas atbilst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norma ir publicēta Eiropas Savienības Oficiālajā Vēstnesī vai Eiropas Savienības Oficiālā Vēstneša speciālajā izlaidumā;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norma ir pieejama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norma neparedz dalībvalstij izvēles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norma ir precīza un viennozīmīga, tā ietver noteiktus formulējumus un beznosacījuma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normas terminoloģija atbilst Latvijas normatīvos aktos lietotajai terminoloģijai.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Trokšņa stratēģisko karšu un rīcības plānu izstrādē izmanto šādus trokšņa rādītājus, kurus nosaka saskaņā ar šo noteikumu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  un novērtē saskaņā ar Komisijas 2015. gada 19. maija Direktīvā (ES) 2015/996 un Komisijas 2020. gada 21. decembra Deleģētajā direktīvā (ES) 2021/1226 noteiktajām kopīgām trokšņa novērtēšanas metodēm: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Terminu “trokšņu rādītājs” aizvietot ar terminu “trokšņu indikators”.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Direktīvas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L</w:t>
            </w:r>
            <w:r w:rsidR="00000000" w:rsidRPr="00000000" w:rsidDel="00000000">
              <w:rPr>
                <w:vertAlign w:val="subscript"/>
                <w:rtl w:val="0"/>
              </w:rPr>
              <w:t xml:space="preserve">diena</w:t>
            </w:r>
            <w:r w:rsidR="00000000" w:rsidRPr="00000000" w:rsidDel="00000000">
              <w:rPr>
                <w:rtl w:val="0"/>
              </w:rPr>
              <w:t xml:space="preserve"> – dienas trokšņa rādītājs, kas raksturo vides trokšņa dienā radušos diskomfortu;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Harmonizēt terminu ar Direktīvas terminoloģiju, ievērojot novecojuša un spēku zaudējuša ISO standarta (ISO 1996-2:1987) aizvietošanu ar jaunu spēkā esošu standartu.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Ldiena – A-izsvarotais kompleksais diennakts vērtēšanas līmenis, kas definēts standartā LVS ISO 1996-1:2017 un kas noteikts, ņemot vērā visas dienas – diennakts daļas – viena gada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2016. gada 21.septembra Ministru kabineta rīkojuma Nr. 534 "Par konceptuālo ziņojumu "Par Latvijas nacionālās standartizācijas sistēmas pilnveidošanu"" 3. punktā noteikto, ka, izstrādājot normatīvos aktus vai izdarot grozījumus spēkā esošajos normatīvajos aktos, kuros izmantotas tiešās atsauces uz standartiem (obligāti piemērojamie standarti), jāizvērtē iespējas aizstāt tās ar netiešajām atsaucēm (piemērojamie standarti), noteikuma projektā nav iekļautas tiešas atsauces uz standartiem. Atbilstoši noteikumu projekta 7.punktā norādītajam saistībā ar šiem noteikumiem tiks sagatavots un nacionālās standartizācijas institūcijas tīmekļvietnē tiks publicēts  piemērojamo Latvijas nacionālo standartu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precīzi pārņemts Direktīvas 2002/49/EK pamattekstā ietvertais termins  Ldiena, kas skaidrots Direktīvas 2002/49/EK 1.pielikumā. Atbilstoši normatīvo aktu projektu izstrādes pamatprincipiem termins Ldiena definīcija ir paskaidrota noteikumu projekta 1.pielikumā.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w:t>
            </w:r>
            <w:r w:rsidR="00000000" w:rsidRPr="00000000" w:rsidDel="00000000">
              <w:rPr>
                <w:vertAlign w:val="subscript"/>
                <w:rtl w:val="0"/>
              </w:rPr>
              <w:t xml:space="preserve">den</w:t>
            </w:r>
            <w:r w:rsidR="00000000" w:rsidRPr="00000000" w:rsidDel="00000000">
              <w:rPr>
                <w:rtl w:val="0"/>
              </w:rPr>
              <w:t xml:space="preserve"> – diennakts trokšņa rādītājs, kas raksturo vides trokšņa radīto kopējo diskomfortu;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Harmonizēt terminu ar Direktīvas terminoloģiju, ievērojot novecojuša un spēku zaudējuša ISO standarta (ISO 1996-2:1987) aizvietošanu ar jaunu spēkā esošu standartu.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Lden – A-izsvarotais kompleksais diennakts vērtēšanas līmenis, kas definēts standartā LVS ISO 1996-1:2017 un kas noteikts, ņemot vērā visas diennaktis viena gada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2016. gada 21.septembra Ministru kabineta rīkojuma Nr. 534 "Par konceptuālo ziņojumu "Par Latvijas nacionālās standartizācijas sistēmas pilnveidošanu"" 3. punktā noteikto, ka, izstrādājot normatīvos aktus vai izdarot grozījumus spēkā esošajos normatīvajos aktos, kuros izmantotas tiešās atsauces uz standartiem (obligāti piemērojamie standarti), jāizvērtē iespējas aizstāt tās ar netiešajām atsaucēm (piemērojamie standarti), noteikuma projektā nav iekļautas tiešas atsauces uz standartiem. Atbilstoši noteikumu projekta 7.punktā norādītajam saistībā ar šiem noteikumiem tiks sagatavots un nacionālās standartizācijas institūcijas tīmekļvietnē tiks publicēts  piemērojamo Latvijas nacionālo standartu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precīzi pārņemts Direktīvas 2002/49/EK pamattekstā ietvertais termins  Lden, kas skaidrots Direktīvas 2002/49/EK 1.pielikumā. Atbilstoši normatīvo aktu projektu izstrādes pamatprincipiem termina Lden definīcija ir paskaidrota noteikumu projekta 1.pielikumā.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L</w:t>
            </w:r>
            <w:r w:rsidR="00000000" w:rsidRPr="00000000" w:rsidDel="00000000">
              <w:rPr>
                <w:vertAlign w:val="subscript"/>
                <w:rtl w:val="0"/>
              </w:rPr>
              <w:t xml:space="preserve">nakts</w:t>
            </w:r>
            <w:r w:rsidR="00000000" w:rsidRPr="00000000" w:rsidDel="00000000">
              <w:rPr>
                <w:rtl w:val="0"/>
              </w:rPr>
              <w:t xml:space="preserve"> – nakts trokšņa rādītājs, kas raksturo vides trokšņa naktī radušos diskomfortu, tai skaitā miega traucējumus;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Harmonizēt terminu ar Direktīvas terminoloģiju, ievērojot novecojuša un spēku zaudējuša ISO standarta (ISO 1996-2:1987) aizvietošanu ar jaunu spēkā esošu standartu.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Lnakts – A-izsvarotais kompleksais diennakts vērtēšanas līmenis, kas definēts standartā LVS ISO 1996-1:2017 un kas noteikts, ņemot vērā visas naktis – diennakts daļas – viena gada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2016. gada 21.septembra Ministru kabineta rīkojuma Nr. 534 "Par konceptuālo ziņojumu "Par Latvijas nacionālās standartizācijas sistēmas pilnveidošanu"" 3. punktā noteikto, ka, izstrādājot normatīvos aktus vai izdarot grozījumus spēkā esošajos normatīvajos aktos, kuros izmantotas tiešās atsauces uz standartiem (obligāti piemērojamie standarti), jāizvērtē iespējas aizstāt tās ar netiešajām atsaucēm (piemērojamie standarti), noteikuma projektā nav iekļautas tiešas atsauces uz standartiem. Atbilstoši noteikumu projekta 7.punktā norādītajam saistībā ar šiem noteikumiem tiks sagatavots un nacionālās standartizācijas institūcijas tīmekļvietnē tiks publicēts  piemērojamo Latvijas nacionālo standartu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precīzi pārņemts Direktīvas 2002/49/EK pamattekstā ietvertais termins  Lnakts, kas skaidrots Direktīvas 2002/49/EK 1.pielikumā. Atbilstoši normatīvo aktu projektu izstrādes pamatprincipiem termina Lnakts definīcija ir paskaidrota noteikumu projekta 1.pielikumā.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L</w:t>
            </w:r>
            <w:r w:rsidR="00000000" w:rsidRPr="00000000" w:rsidDel="00000000">
              <w:rPr>
                <w:vertAlign w:val="subscript"/>
                <w:rtl w:val="0"/>
              </w:rPr>
              <w:t xml:space="preserve">vakars</w:t>
            </w:r>
            <w:r w:rsidR="00000000" w:rsidRPr="00000000" w:rsidDel="00000000">
              <w:rPr>
                <w:rtl w:val="0"/>
              </w:rPr>
              <w:t xml:space="preserve"> – vakara trokšņa rādītājs, kas raksturo vides trokšņa vakarā radušos diskomfortu.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Harmonizēt terminu ar Direktīvas terminoloģiju, ievērojot novecojuša un spēku zaudējuša ISO standarta (ISO 1996-2:1987) aizvietošanu ar jaunu spēkā esošu standartu.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Lvakars – A-izsvarotais kompleksais diennakts vērtēšanas līmenis, kas definēts standartā LVS ISO 1996-1:2017 un kas noteikts, ņemot vērā visus vakarus – diennakts daļas – viena gada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2016. gada 21.septembra Ministru kabineta rīkojuma Nr. 534 "Par konceptuālo ziņojumu "Par Latvijas nacionālās standartizācijas sistēmas pilnveidošanu"" 3. punktā noteikto, ka, izstrādājot normatīvos aktus vai izdarot grozījumus spēkā esošajos normatīvajos aktos, kuros izmantotas tiešās atsauces uz standartiem (obligāti piemērojamie standarti), jāizvērtē iespējas aizstāt tās ar netiešajām atsaucēm (piemērojamie standarti), noteikuma projektā nav iekļautas tiešas atsauces uz standartiem. Atbilstoši noteikumu projekta 7.punktā norādītajam saistībā ar šiem noteikumiem tiks sagatavots un nacionālās standartizācijas institūcijas tīmekļvietnē tiks publicēts  piemērojamo Latvijas nacionālo standartu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precīzi pārņemts Direktīvas 2002/49/EK pamattekstā ietvertais termins  Lvakars, kas skaidrots Direktīvas 2002/49/EK 1.pielikumā. Atbilstoši normatīvo aktu projektu izstrādes pamatprincipiem termina Lvakars definīcija ir paskaidrota noteikumu projekta 1.pielikumā.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Vides trokšņa stratēģisko karšu izstrāde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veidot vēl vienu nodaļu starp I un II nodaļu, iekļaujot tajā normas par trokšņa rādītājiem (indikatoriem) un to piemērošanu. Norādām, ka dažas no šobrīd I nodaļā iekļautajām normām saturiski neatbilst vispārīgo jautājumu sadaļai (piemēram, 5.-7. punkts, iespējams, arī 2.10.-2.13. apakšpunkti). Salīdzinājumam sk. MK noteikumu Nr. 16 I un II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izdalīta atsevišķa nodaļa “Vides trokšņa indikatori”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Vides trokšņa stratēģisko karšu izstrāde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Vides trokšņa stratēģiskās kartes izstrādā šajos noteikumos minētajām </w:t>
            </w:r>
            <w:r w:rsidR="00000000" w:rsidRPr="00000000" w:rsidDel="00000000">
              <w:rPr>
                <w:rtl w:val="0"/>
              </w:rPr>
              <w:t xml:space="preserve">​</w:t>
            </w:r>
            <w:r w:rsidR="00000000" w:rsidRPr="00000000" w:rsidDel="00000000">
              <w:rPr>
                <w:rtl w:val="0"/>
              </w:rPr>
              <w:t xml:space="preserve">aglomerācijām un galveniem autoceļiem, galveniem dzelzceļiem un galvenai lidostai</w:t>
            </w:r>
            <w:r w:rsidR="00000000" w:rsidRPr="00000000" w:rsidDel="00000000">
              <w:rPr>
                <w:rtl w:val="0"/>
              </w:rPr>
              <w:t xml:space="preserve">​</w:t>
            </w:r>
            <w:r w:rsidR="00000000" w:rsidRPr="00000000" w:rsidDel="00000000">
              <w:rPr>
                <w:rtl w:val="0"/>
              </w:rPr>
              <w:t xml:space="preserve">, kā arī aglomerācijām ar vairāk nekā 250 000 iedzīvotāju, autoceļiem, pa kuriem gadā brauc vairāk nekā seši miljoni transportlīdzekļu gadā un dzelzceļa līnijām, pa kurām brauc vairāk nekā 60 000 vilcienu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2.5. apakšpunktā lietotais termins "galvenā dzelzceļa līnija" - dzelzceļa līnija, uz kuras satiksmes intensitāte ir vairāk nekā 30 000 vilcienu sastāvu gadā, šķiet, rada pretrunas ar noteikumu projekta 8. punktā pausto, ka trokšņu kartes jāizstrādā arī dzelzceļa līnijām, kuras nav galvenās, bet pa kurām brauc vairāk nekā 60 000 vilcienu gadā. Pēc skaitlisko vērtību gradācijas, ja pa kādu dzelzceļa līniju brauktu vairāk nekā 60 000 vilcienu gadā, tad tā būtu vērtējama kā galvenā dzelzceļa līnija, nevis līnija, kur satiksmes intensitāte ir uz pusi mazāka (šobrīd saukta par "galveno dzelzceļa līniju"). Lūdzam skaidrot noteikumu projekta 2.5.apakšpunkta termina un noteikumu projekta 8. punkta redakcijas konsekvenci un iespējamās pretrunas to formulējumā.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ka ja netiek ņemts vērā augstāk minētais, lai nodrošināt formulējumu konsekvenci visā noteikumu projektā, lūdzam vārdus “pa kurām brauc vairāk nekā 60 000 vilcienu gadā” aizstāt ar vārdiem “kur satiksmes intensitāte ir lielāka nekā 60 000 vilcienu sastāvu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projekta 2.4. apakšpunktam termins “galvenais autoceļš” ir noteikts kā tāds, uz kura satiksmes intensitāte ir vairāk nekā trīs miljoni transportlīdzekļu gadā. Līdz ar to noteikumu projekta 8.punkta teksta daļa “autoceļiem, pa kuriem gadā brauc vairāk nekā seši miljoni transportlīdzekļu gadā” ir lieka un maldinoša.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punkts izteikts jaunā redakcijā, tai skaitā, svītrots papildteikums “kā arī aglomerācijām ar vairāk nekā 250 000 iedzīvotāju, autoceļiem, pa kuriem gadā brauc vairāk nekā seši miljoni transportlīdzekļu gadā un dzelzceļa līnijām, pa kurām brauc vairāk nekā 60 000 vilcienu gadā”. Direktīvas 2002/49/EK 7. panta 1. punkts ir pārejas punkts Direktīvas 2002/49/EK prasību piemērošanas uzsākšanai un šobrīd Direktīvas 2002/49/EK  3. panta k), n), o) un p) apakšpunkti pilnībā ietver Direktīvas 2002/49/EK 7. panta 1. punkta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Vides trokšņa stratēģiskās kartes izstrādā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minētajām aglomerācijām un </w:t>
            </w:r>
            <w:r w:rsidR="00000000" w:rsidRPr="00000000" w:rsidDel="00000000">
              <w:rPr>
                <w:rtl w:val="0"/>
              </w:rPr>
              <w:t xml:space="preserve">2.4.</w:t>
            </w:r>
            <w:r w:rsidR="00000000" w:rsidRPr="00000000" w:rsidDel="00000000">
              <w:rPr>
                <w:shd w:fill="#ffffff" w:val="clea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2.6.</w:t>
            </w:r>
            <w:r w:rsidR="00000000" w:rsidRPr="00000000" w:rsidDel="00000000">
              <w:rPr>
                <w:rtl w:val="0"/>
              </w:rPr>
              <w:t xml:space="preserve"> apakšpunktos minētajiem transporta infrastruktūras objektiem.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Vides trokšņa stratēģiskās kartes izstrādā šajos noteikumos minētajām </w:t>
            </w:r>
            <w:r w:rsidR="00000000" w:rsidRPr="00000000" w:rsidDel="00000000">
              <w:rPr>
                <w:rtl w:val="0"/>
              </w:rPr>
              <w:t xml:space="preserve">​</w:t>
            </w:r>
            <w:r w:rsidR="00000000" w:rsidRPr="00000000" w:rsidDel="00000000">
              <w:rPr>
                <w:rtl w:val="0"/>
              </w:rPr>
              <w:t xml:space="preserve">aglomerācijām un galveniem autoceļiem, galveniem dzelzceļiem un galvenai lidostai</w:t>
            </w:r>
            <w:r w:rsidR="00000000" w:rsidRPr="00000000" w:rsidDel="00000000">
              <w:rPr>
                <w:rtl w:val="0"/>
              </w:rPr>
              <w:t xml:space="preserve">​</w:t>
            </w:r>
            <w:r w:rsidR="00000000" w:rsidRPr="00000000" w:rsidDel="00000000">
              <w:rPr>
                <w:rtl w:val="0"/>
              </w:rPr>
              <w:t xml:space="preserve">, kā arī aglomerācijām ar vairāk nekā 250 000 iedzīvotāju, autoceļiem, pa kuriem gadā brauc vairāk nekā seši miljoni transportlīdzekļu gadā un dzelzceļa līnijām, pa kurām brauc vairāk nekā 60 000 vilcienu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 punktā vai nu svītrot norādi “šajos noteikumos minētajām”, jo tālāk uzskaitītie termini tiek definēti 1. punktā, vai arī iekļaut precīzu atsauci uz noteikumu vienībām (sk. iepriekšējā saskaņošanā nodoto normas redakciju). Papildus lūdzam skaidrot pievienoto papildteikumu “kā arī aglomerācijām ar vairāk nekā 250 000 iedzīvotāju, autoceļiem, pa kuriem gadā brauc vairāk nekā seši miljoni transportlīdzekļu gadā un dzelzceļa līnijām, pa kurām brauc vairāk nekā 60 000 vilcienu gadā”. Turklāt vēršam uzmanību, ka norāde “aglomerācijām ar vairāk nekā 250 000 iedzīvotāju” (bez norādes uz iedzīvotāju blīvumu) nav korekta, ņemot vērā, ka aglomerācija 1.1. apakšpunktā definēta kā administratīvā teritorija, kurā iedzīvotāju skaits pārsniedz 100 000 un iedzīvotāju blīvums pārsniedz 500 iedzīvotāju uz kvadrātkilometru, kā arī papildinājumi attiecībā uz autoceļiem un dzelzceļa līnijām nav saprotami, ņemot vērā to definējumus 1. punktā. Attiecīgi lūdzam vai nu skaidrot šo normu (papildus skaidrojot tās atbilstību Eiropas Savienības prasībām), vai nu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punkts izteikts jaunā redakcijā, tai skaitā, svītrots papildteikums “kā arī aglomerācijām ar vairāk nekā 250 000 iedzīvotāju, autoceļiem, pa kuriem gadā brauc vairāk nekā seši miljoni transportlīdzekļu gadā un dzelzceļa līnijām, pa kurām brauc vairāk nekā 60 000 vilcienu gadā”. Direktīvas 2002/49/EK 7. panta 1. punkts ir pārejas punkts Direktīvas 2002/49/EK prasību piemērošanas uzsākšanai un šobrīd Direktīvas 2002/49/EK  3. panta k), n), o) un p) apakšpunkti pilnībā ietver Direktīvas 2002/49/EK 7. panta 1. punkta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Vides trokšņa stratēģiskās kartes izstrādā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minētajām aglomerācijām un </w:t>
            </w:r>
            <w:r w:rsidR="00000000" w:rsidRPr="00000000" w:rsidDel="00000000">
              <w:rPr>
                <w:rtl w:val="0"/>
              </w:rPr>
              <w:t xml:space="preserve">2.4.</w:t>
            </w:r>
            <w:r w:rsidR="00000000" w:rsidRPr="00000000" w:rsidDel="00000000">
              <w:rPr>
                <w:shd w:fill="#ffffff" w:val="clea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2.6.</w:t>
            </w:r>
            <w:r w:rsidR="00000000" w:rsidRPr="00000000" w:rsidDel="00000000">
              <w:rPr>
                <w:rtl w:val="0"/>
              </w:rPr>
              <w:t xml:space="preserve"> apakšpunktos minētajiem transporta infrastruktūras objektiem.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Vides trokšņa stratēģiskās kartes izstrādā šajos noteikumos minētajām </w:t>
            </w:r>
            <w:r w:rsidR="00000000" w:rsidRPr="00000000" w:rsidDel="00000000">
              <w:rPr>
                <w:rtl w:val="0"/>
              </w:rPr>
              <w:t xml:space="preserve">​</w:t>
            </w:r>
            <w:r w:rsidR="00000000" w:rsidRPr="00000000" w:rsidDel="00000000">
              <w:rPr>
                <w:rtl w:val="0"/>
              </w:rPr>
              <w:t xml:space="preserve">aglomerācijām un galveniem autoceļiem, galveniem dzelzceļiem un galvenai lidostai</w:t>
            </w:r>
            <w:r w:rsidR="00000000" w:rsidRPr="00000000" w:rsidDel="00000000">
              <w:rPr>
                <w:rtl w:val="0"/>
              </w:rPr>
              <w:t xml:space="preserve">​</w:t>
            </w:r>
            <w:r w:rsidR="00000000" w:rsidRPr="00000000" w:rsidDel="00000000">
              <w:rPr>
                <w:rtl w:val="0"/>
              </w:rPr>
              <w:t xml:space="preserve">, kā arī aglomerācijām ar vairāk nekā 250 000 iedzīvotāju, autoceļiem, pa kuriem gadā brauc vairāk nekā seši miljoni transportlīdzekļu gadā un dzelzceļa līnijām, pa kurām brauc vairāk nekā 60 000 vilcienu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VM 22.12.2021. iebildumu un atkārtoti lūdzam papildināt 8. punktu, nosakot iespēju trokšņa stratēģiskās kartes izstrādāt arī tām pašvaldībām, kas neatbilst aglomerācijas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Latvijā aglomerācijas parametriem iedzīvotāju skaita ziņā atbilst vienīgi Rīga. Tomēr trokšņu karšu izstrādes metodikā iedzīvotāju skaits aglomerācijā kā koeficients vai kāds cits ieejas parametrs netiek izmantots, tāpēc metodes statistiskā ticamība nav saistīta ar aglomerācijas lielumu. Līdz ar to neredzam iemeslu, kāpēc citām pašvaldībām, ja tās vēlas pasūtīt trokšņu stratēģisko karti un gatavas pasūtījumu finansēt, tiek liegta iespēja šādu pasūtījumu veikšanai. Uzskatām, ka trokšņu stratēģiskā karte arī citām pašvaldībām ļautu izsvērt savas iespējas individuālai rīcībai gadījumos, kad pašvaldību iedzīvotājiem trokšņa piesārņojums varētu būt aktuāls.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prasība par vides trokšņa stratēģisko karšu un rīcības plānu izstrādi ir attiecināma uz augstas intensitātes satiksmes infrastruktūrām un lielām aglomerācijām atbilstoši Direktīvā 2002/49/EK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Apgalvojums, ka vides trokšņa novērtēšanā netiek ņemts vērā noteiktās administratīvās teritorijas iedzīvotāju skaits un iedzīvotāju blīvums ir nepatiess.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Preczizēta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Vides trokšņa stratēģiskās kartes izstrādā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minētajām aglomerācijām un </w:t>
            </w:r>
            <w:r w:rsidR="00000000" w:rsidRPr="00000000" w:rsidDel="00000000">
              <w:rPr>
                <w:rtl w:val="0"/>
              </w:rPr>
              <w:t xml:space="preserve">2.4.</w:t>
            </w:r>
            <w:r w:rsidR="00000000" w:rsidRPr="00000000" w:rsidDel="00000000">
              <w:rPr>
                <w:shd w:fill="#ffffff" w:val="clea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2.6.</w:t>
            </w:r>
            <w:r w:rsidR="00000000" w:rsidRPr="00000000" w:rsidDel="00000000">
              <w:rPr>
                <w:rtl w:val="0"/>
              </w:rPr>
              <w:t xml:space="preserve"> apakšpunktos minētajiem transporta infrastruktūras objektiem.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Trokšņa stratēģiskās kartes izstrādā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minētajām aglomerācijām un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2.7. </w:t>
            </w:r>
            <w:r w:rsidR="00000000" w:rsidRPr="00000000" w:rsidDel="00000000">
              <w:rPr>
                <w:rtl w:val="0"/>
              </w:rPr>
              <w:t xml:space="preserve">apakšpunktos</w:t>
            </w:r>
            <w:r w:rsidR="00000000" w:rsidRPr="00000000" w:rsidDel="00000000">
              <w:rPr>
                <w:rtl w:val="0"/>
              </w:rPr>
              <w:t xml:space="preserve"> minētajiem transporta infrastruktūras objektiem.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8. punktu, nosakot iespēju trokšņa stratēģiskās kartes izstrādāt arī tām pašvaldībām, kas neatbilst aglomerācijas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Trokšņa stratēģiskās kartes izstrādā šo noteikumu 2.1.apakšpunktā minētajām aglomerācijām un 2.5., 2.6., 2.7. apakšpunktos minētajiem transporta infrastruktūras objektiem.</w:t>
            </w:r>
            <w:r w:rsidR="00000000" w:rsidRPr="00000000" w:rsidDel="00000000">
              <w:rPr>
                <w:u w:val="single"/>
                <w:rtl w:val="0"/>
              </w:rPr>
              <w:t xml:space="preserve"> Apdzīvotām vietām, kas neatbilst aglomerācijas kritērijiem, trokšņa stratēģiskās kartes var tikt izstrādātas pēc vietējās pašvaldības  iniciatīvas.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Trokšņa stratēģisko karšu izstrādē izmantojamās, ar Direktīvu 2002/49/EK noteiktās kopējās trokšņa novērtēšanas (aprēķinu) metodes ir statistiski ticamas attiecībā uz Direktīvas 2002/49/EK tvērumu.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Vides trokšņa stratēģiskās kartes izstrādā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minētajām aglomerācijām un </w:t>
            </w:r>
            <w:r w:rsidR="00000000" w:rsidRPr="00000000" w:rsidDel="00000000">
              <w:rPr>
                <w:rtl w:val="0"/>
              </w:rPr>
              <w:t xml:space="preserve">2.4.</w:t>
            </w:r>
            <w:r w:rsidR="00000000" w:rsidRPr="00000000" w:rsidDel="00000000">
              <w:rPr>
                <w:shd w:fill="#ffffff" w:val="clea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2.6.</w:t>
            </w:r>
            <w:r w:rsidR="00000000" w:rsidRPr="00000000" w:rsidDel="00000000">
              <w:rPr>
                <w:rtl w:val="0"/>
              </w:rPr>
              <w:t xml:space="preserve"> apakšpunktos minētajiem transporta infrastruktūras objektiem.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Vides trokšņa indikatoru  Lden un Lnight vērtības nosaka saskaņā ar Eiropas Parlamenta un Padomes 2002.gada 25.jūnija direktīvas 2002/49/EK par vides trokšņa novērtēšanu un pārvaldību II pielikumu (ES Oficiālais Vēstnesis, 18.07.2002., L189/12), kas pievienots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 kuru groza ar Komisijas 2015. gada 19. maija Direktīvas (ES) 2015/996, ar ko nosaka kopīgas trokšņa novērtēšanas metodes saskaņā ar Eiropas Parlamenta un Padomes Direktīvu 2002/49/EK (ES Oficiālais Vēstnesis, 01.07.2015., L 168/1) pielikumu, kas pievienots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un ar Komisijas 2020.gada 21.decembra deleģētās direktīvas (ES) 2021/1226, ar ko, pielāgojot zinātnes un tehnikas attīstībai, Eiropas Parlamenta un Padomes Direktīvas 2002/49/EK II pielikumu groza attiecībā uz kopīgām trokšņa novērtēšanas metodēm (ES Oficiālais Vēstnesis, 28.07.2021., L 269/65) pielikumu, kas pievienots šo noteikumu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2015. gada 19. maija Direktīvas (ES) 2015/996, ar ko nosaka kopīgas trokšņa novērtēšanas metodes saskaņā ar Eiropas Parlamenta un Padomes Direktīvu 2002/49/EK, pielikuma teksts pilnībā aizstāj Eiropas Parlamenta un Padomes 2002.gada 25.jūnija direktīvas 2002/49/EK par vides trokšņa novērtēšanu un pārvaldību (turpmāk - Direktīva 2002/49/EK) II pielikumu, lūdzam projekta 8. punktā svītrot atsauci uz Direktīvas 2002/49/EK II pielikumu, kā arī svītrot projekta 2. pielikumu un attiecīgi precizēt projektu. Saistībā ar minēto lūdzam arī pilnveidot projekta 3. un 4. pielikuma nosaukumus, tos ievietojot virs pielikuma augšdaļā minētajiem direktīvu nosaukumiem, kā arī tikai 4. pielikumā ietverot norādi "(grozījumi)". Papildus lūdzam ietvert korektas atsauces uz direktīvām (sk. noteikumu Nr. 108 168.1.-168.5.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Vides trokšņa indikatoru  Lden un Lnight vērtības nosaka saskaņā ar Komisijas 2015. gada 19. maija Direktīvas (ES) 2015/996, ar ko nosaka kopīgas trokšņa novērtēšanas metodes saskaņā ar Eiropas Parlamenta un Padomes Direktīvu 2002/49/EK pielikumu, kas pievienots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un ar Komisijas 2020.gada 21.decembra deleģētās direktīvas (ES) 2021/1226, ar ko, pielāgojot zinātnes un tehnikas attīstībai, Eiropas Parlamenta un Padomes Direktīvas 2002/49/EK II pielikumu groza attiecībā uz kopīgām trokšņa novērtēšanas metodēm pielikumu, kas pievienots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kartes, kurās atspoguļoti trokšņa robežlielumu pārsniegumi;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Terminu “trokšņa robežlielums”  aizvietot ar “trokšņa robežvērtība”.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Direktīvas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piesārņojumu" 13.pantu vides kvalitātes normatīvus iedala robežlielumos un mērķlielumos. Lai piesārņojuma regulējumā nodrošinātu vienotu terminoloģiju noteikumu projektā ietverts termins "robežlielums" un tā jēga atbilst Direktīvas 2002/49/EK termina "robežvērtība" definīcijai. Līdz ar to secināms, ka 2004. gadā, pārņemot Direktīvu 2002/49/EK nacionālā likumdošanā,  ir nodrošināta termina "robežvērtība" pārņemšana  pēc būtības, kā arī līdz šim termins "robežlielums" ir piemērots atbilstoši Direktīvā 2002/49/EK noteiktajam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ja nepieciešams, norādītas trokšņa rādītāja vērtības citā augstumā (nevis 4 m virs zemes).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Terminu “trokšņu rādītājs” aizvietot ar terminu “trokšņu indikators”.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Direktīvas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esošs, vēsturisks vai prognozēts stāvoklis attiecībā uz troksni, kas izteikts ar trokšņa rādītāja vērtību;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Terminu “trokšņu rādītājs” aizvietot ar terminu “trokšņu indikators”.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Direktīvas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trokšņa robežlielumu pārsniegumi;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Terminu “trokšņa robežlielums”  aizvietot ar “trokšņa robežvērtība”.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Direktīvas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piesārņojumu" 13.pantu vides kvalitātes normatīvus iedala robežlielumos un mērķlielumos. Lai piesārņojuma regulējumā nodrošinātu vienotu terminoloģiju noteikumu projektā ietverts termins "robežlielums" un tā jēga atbilst Direktīvas 2002/49/EK termina "robežvērtība" definīcijai. Līdz ar to secināms, ka 2004. gadā, pārņemot Direktīvu 2002/49/EK nacionālā likumdošanā,  ir nodrošināta termina "robežvērtība" pārņemšana  pēc būtības, kā arī līdz šim termins "robežlielums" ir piemērots atbilstoši Direktīvā 2002/49/EK noteiktajam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to noteiktā rajonā esošo novērtēto mājokļu, skolu un slimnīcu skaits, uz kurām iedarbojas troksnis, kura rādītājam ir kāda konkrēta vērtība;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Terminu “trokšņu rādītājs” aizvietot ar terminu “trokšņu indikators”.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Direktīvas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Vides trokšņa indikatoru  L</w:t>
            </w:r>
            <w:r w:rsidR="00000000" w:rsidRPr="00000000" w:rsidDel="00000000">
              <w:rPr>
                <w:vertAlign w:val="subscript"/>
                <w:rtl w:val="0"/>
              </w:rPr>
              <w:t xml:space="preserve">den</w:t>
            </w:r>
            <w:r w:rsidR="00000000" w:rsidRPr="00000000" w:rsidDel="00000000">
              <w:rPr>
                <w:rtl w:val="0"/>
              </w:rPr>
              <w:t xml:space="preserve"> un L</w:t>
            </w:r>
            <w:r w:rsidR="00000000" w:rsidRPr="00000000" w:rsidDel="00000000">
              <w:rPr>
                <w:vertAlign w:val="subscript"/>
                <w:rtl w:val="0"/>
              </w:rPr>
              <w:t xml:space="preserve">nakts </w:t>
            </w:r>
            <w:r w:rsidR="00000000" w:rsidRPr="00000000" w:rsidDel="00000000">
              <w:rPr>
                <w:rtl w:val="0"/>
              </w:rPr>
              <w:t xml:space="preserve">vērtības nosaka saskaņā ar Komisijas 2015. gada 19. maija Direktīvas (ES) 2015/996, ar ko nosaka kopīgas trokšņa novērtēšanas metodes saskaņā ar Eiropas Parlamenta un Padomes Direktīvu 2002/49/EK (ES Oficiālais Vēstnesis, 01.07.2015., L 168/1) pielikumu, kas pievienots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un saskaņā ar Komisijas 2020.gada 21.decembra deleģētās direktīvas (ES) 2021/1226, ar ko, pielāgojot zinātnes un tehnikas attīstībai, Eiropas Parlamenta un Padomes Direktīvas 2002/49/EK II pielikumu groza attiecībā uz kopīgām trokšņa novērtēšanas metodēm (ES Oficiālais Vēstnesis, 28.07.2021., L 269/65) pielikumu, kas pievienots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izziņā uz Tieslietu ministrijas 2021. gada 23. decembra iebildumu par atsaucēm uz Eiropas Savienības direktīvām sniegto skaidrojumu iekļaut arī anotācijā. Papildus lūdzam izvērtēt, vai atsauce noteikumu projekta 13. punkta otrajā teikuma daļā tikai uz grozošo direktīvu (Komisijas 2020.gada 21.decembra deleģētās direktīvas (ES) 2021/1226, ar ko, pielāgojot zinātnes un tehnikas attīstībai, Eiropas Parlamenta un Padomes Direktīvas 2002/49/EK II pielikumu groza attiecībā uz kopīgām trokšņa novērtēšanas metodēm (ES Oficiālais Vēstnesis, 28.07.2021., L 269/65) pielikumu) ir pietiekama, ņemot vērā, ka minētās direktīvas pielikumā (attiecīgi arī noteikumu projekta 3. pielikumā) ietverti vien grozījumi (par atsaucēm uz direktīvām normatīvajos aktos vairāk sk. Tieslietu ministrijas Eiropas Savienības tiesību ieviešanas rokasgrāmatas 37.-41.lpp.). Attiecīgi lūdzam veikt izvērtējumu un pēc nepieciešamības veikt precizējumus. Papildus aicinām veikt izvērtējumu, vai tiešām noteikumu projekta 13. punktā minētajās direktīvās lietotā terminoloģija ir atbilstoša Latvijas attiecīgajos normatīvajos aktos lietotajai terminoloģijai, un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anotācijas 1.3.punktā sadaļu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Trokšņa novērtētšanai izmanto kopīgās trokšņa novērtēšanas metodes, kas ir noteiktas saskaņā ar Komisijas 2015. gada 19. maija Direktīvas (ES) 2015/996, ar ko nosaka kopīgas trokšņa novērtēšanas metodes saskaņā ar Eiropas Parlamenta un Padomes Direktīvu 2002/49/EK, (Eiropas Savienības Oficiālais Vēstnesis, 01.07.2015. L 168/1) 1. pielikumu un Komisijas 2020. gada 21. decembra Deleģētās direktīvas (ES) 2021/1226, ar ko, pielāgojot zinātnes un tehnikas attīstībai, Eiropas Parlamenta un Padomes Direktīvas 2002/49/EK II pielikumu groza attiecībā uz kopīgām trokšņa novērtēšanas metodēm (Eiropas Savienības Oficiālais Vēstnesis, 28.07.2021. L 1269/65) 1.pielikumu.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13. punktā iekļautā norma pēc būtības atkārto jau 5. punktā minēto, ka trokšņa rādītājus novērtē saskaņā ar Komisijas 2015. gada 19. maija Direktīvā (ES) 2015/996 un Komisijas 2020. gada 21. decembra Deleģētajā direktīvā (ES) 2021/1226 noteiktajām kopīgām trokšņa novērtēšanas metodēm. Noteikumu projekta 13. punktā, atšķirībā no 5. punkta, gan ir norāde uz trokšņa, nevis trokšņa rādītāju novērtēšanu. Attiecīgi lūdzam izvērtēt, vai noteikumu projekta 13. punkts nedublē 5. punktu, un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projekta 5. un 13.punkti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Direktīvas (ES) 2015/996 ietvertās normas ir precīzas un viennozīmīgas, tā ietver noteiktus formulējumus un beznosacījuma normas (matemātiskās aprēķinu formulas, tehniskos zīmējumus un grafikus, kas atspoguļo, piemēram, skaņas izplatīšanas ģeometriju, kā arī aprēķinos izmantojamo koeficientu tabulas), ir piemērots izņēmums pārņemt direktīvas normas ar 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(ES) 2015/996 normas atbilst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norma ir publicēta Eiropas Savienības Oficiālajā Vēstnesī vai Eiropas Savienības Oficiālā Vēstneša speciālajā izlaidumā;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norma ir pieejama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norma neparedz dalībvalstij izvēles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norma ir precīza un viennozīmīga, tā ietver noteiktus formulējumus un beznosacījuma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normas terminoloģija atbilst Latvijas normatīvos aktos lietotajai terminoloģijai.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60 dB(A), 65 dB(A), 70 dB(A)un 75 dB(A) trokšņa kontūras;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kas ir domāts ar noteikumu projekta 14.1. apakšpunktu, jo tas nesatur informāciju, par kāda trokšņa rādītāja vai kādu trokšņa rādītāju kontūrām tiek runāts. Lūdzam precizēt minēto noteikumu projekta apakšpunktu, norādot trokšņa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uzskaitījums atšķiras no 14.4. apakšpunkta, jo atbilstoši 14.4. apakšpunktam ir nepieciešams aprēķināt arī zemāku trokšņa līmeņu kontūras.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14.1. apakšpunkts nosaka aglomerācijas trokšņa stratēģiskā kartē iekļaujamās trokšņa kontūras, bet noteikumu projekta 14.4.apakšpunkts nosaka prasības par aglomerācijas trokšņa stratēģiskā kartē ietveramo cilvēku skaitu,kuru mājokļi ir pakļauti noteiktai vides trokšņa ietekmei (noteiktās vides trokšņa kontūrās).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60 dB(A), 65 dB(A), 70 dB(A)un 75 dB(A) trokšņa kontūras;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60 dB(A), 65 dB(A), 70 dB(A)un 75 dB(A) trokšņa kontūras;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Vārdus “trokšņa kontūras” aizvietot ar “trokšņa līmeņu kontūras”.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ietverts 2004.gadā nacionālā likumdošanā precīzi pārņemtais Direktīvā 2002/49/EK izmantotais termins "trokšņu kontūras". Direktīvā 2002/49/EK nav izmantots termins "trokšņa līmeņa kontūras".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60 dB(A), 65 dB(A), 70 dB(A)un 75 dB(A) trokšņa kontūras;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trokšņa avotus - ceļu satiksmi, dzelzceļa un tramvaju satiksmi, gaisa satiksmi, rūpnieciskās darbības zonas, ostas,  kā arī šo trokšņa avotu radīto vides troksni, kas izteikts ar trokšņa rādītāju vērtībām. Katra trokšņa avota veida radīto troksni atspoguļo arī atsevišķā kartē;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Vārdus “trokšņa rādītāju vērtībām” aizvietot ar “trokšņa līmeņu vērtībām”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Trokšņa stratēģiskās kartes “zīmē”, attēlojot trokšņa A-izsvarotos kompleksos diennakts vērtēšanas līmeņus, kas definēti standartā LVS ISO 1996-1:2017. Šie līmeņi, pēc tam, kad attiecināti uz konkrētu diennakts laiku un vidināti visa gada garumā, tiek uzskatīti par trokšņa indikatoriem konkrētam diennakts laikam.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ietvertas kopš 2004.gada nacionālā likumdošanā precīzi pārņemtās Direktīvas 2002/49/EK IV pielikumā noteiktās minimālās prasības stratēģiskai trokšņa kartēšanai, tai skaitā, prasība iekļaut stratēģiskā trokšņa kartē datus par vides troksni, kas izteikts ar trokšņa indikatoru vērtībām.  Direktīvā 2002/49/EK netiek izmantots termins "trokšņa līmeņa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trokšņa avotus - ceļu satiksmi, dzelzceļa un tramvaju satiksmi, gaisa satiksmi, rūpnieciskās darbības zonas, ostas,  kā arī šo trokšņa avotu radīto vides troksni, kas izteikts ar vides trokšņa indikatoru vērtībām. Katra trokšņa avota veida radīto vides troksni atspoguļo arī atsevišķā kartē;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 4. punktā noteikto vides trokšņa robežlielumu pārsniegumi;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noteikumu projekta izziņā (49.punkts) ir norādīts, ka Satiksmes ministrijas 2021.gada 29.decembra iebildums ir ņemts vērā, atkārtoti lūdzam sniegt plašāku skaidrojumu par noteikumu projekta 14.3. apakšpunktā minēto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14.3. apakšpunkta redakcija un izziņā norādītais nedod priekšstatu, kādu informāciju par vides trokšņa robežlielumu pārsniegumiem ir nepieciešams sniegt trokšņa stratēģiskajā kartē. Nav skaidrs vai tā ir teritorijas attēlojums, kurā ir konstatēti vides trokšņa robežlielumu pārsniegumi, teritorijas platība, kurā ir trokšņa robežlielumu pārsniegumi, iedzīvotāju vai mājokļu skaits, kuros ir konstatēti trokšņa robežlielumu pārsniegumi.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15.1. apakšpunktā ir precizēts, ka vides trokšņa stratēģiskajās kartēs galvenajiem autoceļiem, galvenajām līnijām un galvenajai lidostai ir jāietver informācija par teritorijām, kurās vides trokšņa indikatoru vērtības pārsniedz šo noteikumu 1. pielikuma 4. punktā norādītos vides trokšņa robežlielumus. Jāsniedz arī mājokļu kopskaita novērtējumus (simtos) un to cilvēku kopskaita novērtējums (simtos), kas dzīvo minētajās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 4. punktā noteikto vides trokšņa robežlielumu pārsniegumi;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trokšņa robežlielumu pārsniegumus;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14.3. apakšpunktā minēto prasību “trokšņa robežlielumu pārsniegumus”, precīzi norādot, kurus no sekojošajiem rādītājiem ietver: teritorijas platību, iedzīvotāju skaitu, mājokļu skaitu, grafisku teritorijas attēlojumu ar trokšņa robežlielumu pārsniegumiem.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trokšņa robežlielumu pārsniegumi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 4. punktā noteikto vides trokšņa robežlielumu pārsniegumi;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trokšņa robežlielumu pārsniegumus;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Terminu “trokšņa robežlielums”  aizvietot ar “trokšņa robežvērtība”.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Direktīvas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piesārņojumu" 13.pantu vides kvalitātes normatīvus iedala robežlielumos un mērķlielumos. Lai piesārņojuma regulējumā nodrošinātu vienotu terminoloģiju noteikumu projektā ietverts termins "robežlielums" un tā jēga atbilst Direktīvas 2002/49/EK termina "robežvērtība" definīcijai. Līdz ar to secināms, ka 2004. gadā, pārņemot Direktīvu 2002/49/EK nacionālā likumdošanā,  ir nodrošināta termina "robežvērtība" pārņemšana  pēc būtības, kā arī līdz šim termins "robežlielums" ir piemērots atbilstoši Direktīvā 2002/49/EK noteiktajam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 4. punktā noteikto vides trokšņa robežlielumu pārsniegumi;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cilvēku skaitu (noapaļojot līdz tuvākajam simtam), kuri dzīvo mājokļos, kuros vides trokšņa indikatoru vērtības, kas noteiktas 4 metrus virs zemes pie vides trokšņa iedarbībai visvairāk pakļautās fasādes, ir novērtētas 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zemākas trokšņa rādītāju kontūras (stingrākas prasības), tiek veikts precīzāks un detalizētāks trokšņa novērtējums, kas ļauj novērtēt trokšņa robežlielumu pārsniegumus. Pēc detalizētāka trokšņa robežlielumu pārsniegumu noteikšanas iespējams īstenot piemērotus prettrokšņa pasākumus akustiskajās diskomforta zonās. Kā arī, pieņemot nacionālā likumdošanās stingrākas prasības, tiek ievērots Direktīvā 2002/49/EK noteiktais.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uzturam Satiksmes ministrijas 29.12.2021. atzinumā ietverto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aprēķināt noteikumu projekta 14.3.apakšpunktā minētos trokšņa robežlielumu pārsniegumus, ir nepieciešams aprēķināt krietni zemāku trokšņa rādītāju kontūras nekā noteikts 14.4.2.apakšpunktā.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aprēķinātu noteikumu projekta 14.3.apakšpunktā minētos trokšņa lieluma pārsniegumus, ir nepieciešams novērtēt Ldiena, Lvakars un Lnakts trokšņa kontūras līmeņiem, kas pārsniedz noteikumu projekta 1. pielikuma 5.5. apakšpunkta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noteikumu projekta 14.4. apakšpunktu papildināt ar 14.4.3. un 14.4.4.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Ldvn 50 – 54 dBA kontūru -  minētās kontūras vērtību aprēķināšana neradīs papildus administratīvo slogu, jo tā būs vienāda vai mazāka par lielāko no Ldiena, Lvakars vai Lnakts kontūrām.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noteikumu projekta anotācijā norādīt, ka, lai gan prasības ir stingrākas nekā tieši ir noteikts direktīvā, tomēr papildus līmeņus ir nepieciešams novērtēt, lai noteiktu trokšņa robežlielumu pārsniegumus.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to cilvēku skaitu (noapaļojot līdz tuvākajam simtam), kuri dzīvo aglomerācijās un ārpus aglomerācijām mājokļos, kuru trokšņa rādītāju vērtības, kas noteiktas 4 metrus virs zemes pie trokšņa iedarbībai visvairāk pakļautās fasādes, atrodas šādās trokšņa kontūrās: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14.4.1. trokšņa rādītājam Ldvn: 50 – 54 dBA 55-59 dBA, 60-64 dBA, 65-69 dBA, 70-74 dBA,  &gt; 75 dBA;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14.4.2.  trokšņa rādītājam Ldiena: 50-54 dBA, 55-59 dBA, 60-64 dBA, 65-69 dBA, &gt; 70 dBA;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14.4.3. trokšņa rādītājam Lvakars: 45-49 dBA, 50-54 dBA, 55-59 dBA, 60-64 dBA, 65-69 dBA, &gt; 70 dBA;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14.4.4. trokšņa rādītājam Lnakts: 40-44 dBA, 45-49 dBA, 50-54 dBA, 55-59 dBA, 60-64 dBA, 65-69 dBA, &gt; 70 dBA.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14.4.apakšpunkts attiecas uz trokšņa stratēģiskās kartes izstrādi aglomerācijai un precīzi pārņem nacionālā likumdošanā Direktīvā 2002/49/EK noteiktās minimālās prasības trokšņa stratēģiskai kartēšanai.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cilvēku skaitu (noapaļojot līdz tuvākajam simtam), kuri dzīvo mājokļos, kuros vides trokšņa indikatoru vērtības, kas noteiktas 4 metrus virs zemes pie vides trokšņa iedarbībai visvairāk pakļautās fasādes, ir novērtētas 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cilvēku skaitu (noapaļojot līdz tuvākajam simtam), kuri dzīvo mājokļos, kuros trokšņa rādītāju vērtības, kas noteiktas 4 metrus virs zemes pie trokšņa iedarbībai visvairāk pakļautās fasādes, atrodas šādās trokšņa kontūrās: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aprēķināt noteikumu projekta 14.3. minētos trokšņa robežlielumu pārsniegumus, ir nepieciešams aprēķināt krietni zemāku trokšņa rādītāju kontūras nekā noteikts  14.4.2.apakšpunktā.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aprēķinātu 14.3.apakšpunktā minētos trokšņa lieluma pārsniegumus, ir nepieciešams novērtēt L</w:t>
            </w:r>
            <w:r w:rsidR="00000000" w:rsidRPr="00000000" w:rsidDel="00000000">
              <w:rPr>
                <w:vertAlign w:val="subscript"/>
                <w:rtl w:val="0"/>
              </w:rPr>
              <w:t xml:space="preserve">diena</w:t>
            </w:r>
            <w:r w:rsidR="00000000" w:rsidRPr="00000000" w:rsidDel="00000000">
              <w:rPr>
                <w:rtl w:val="0"/>
              </w:rPr>
              <w:t xml:space="preserve">, L</w:t>
            </w:r>
            <w:r w:rsidR="00000000" w:rsidRPr="00000000" w:rsidDel="00000000">
              <w:rPr>
                <w:vertAlign w:val="subscript"/>
                <w:rtl w:val="0"/>
              </w:rPr>
              <w:t xml:space="preserve">vakars</w:t>
            </w:r>
            <w:r w:rsidR="00000000" w:rsidRPr="00000000" w:rsidDel="00000000">
              <w:rPr>
                <w:rtl w:val="0"/>
              </w:rPr>
              <w:t xml:space="preserve"> un L</w:t>
            </w:r>
            <w:r w:rsidR="00000000" w:rsidRPr="00000000" w:rsidDel="00000000">
              <w:rPr>
                <w:vertAlign w:val="subscript"/>
                <w:rtl w:val="0"/>
              </w:rPr>
              <w:t xml:space="preserve">nakts</w:t>
            </w:r>
            <w:r w:rsidR="00000000" w:rsidRPr="00000000" w:rsidDel="00000000">
              <w:rPr>
                <w:rtl w:val="0"/>
              </w:rPr>
              <w:t xml:space="preserve"> trokšņa kontūras līmeņiem, kas pārsniedz Noteikumu projekta 1. pielikuma 5.5. apakšpunkta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lūdzam Noteikumu projekta 14.4. apakšpunktu papildināt ar 14.4.3. un 14.4.4.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w:t>
            </w:r>
            <w:r w:rsidR="00000000" w:rsidRPr="00000000" w:rsidDel="00000000">
              <w:rPr>
                <w:vertAlign w:val="subscript"/>
                <w:rtl w:val="0"/>
              </w:rPr>
              <w:t xml:space="preserve">dvn</w:t>
            </w:r>
            <w:r w:rsidR="00000000" w:rsidRPr="00000000" w:rsidDel="00000000">
              <w:rPr>
                <w:rtl w:val="0"/>
              </w:rPr>
              <w:t xml:space="preserve"> 50 – 54 dBA kontūru -  minētās kontūras vērtību aprēķināšana neradīs papildus administratīvo slogu, jo tā būs vienāda vai mazāka par lielāko no L</w:t>
            </w:r>
            <w:r w:rsidR="00000000" w:rsidRPr="00000000" w:rsidDel="00000000">
              <w:rPr>
                <w:vertAlign w:val="subscript"/>
                <w:rtl w:val="0"/>
              </w:rPr>
              <w:t xml:space="preserve">diena</w:t>
            </w:r>
            <w:r w:rsidR="00000000" w:rsidRPr="00000000" w:rsidDel="00000000">
              <w:rPr>
                <w:rtl w:val="0"/>
              </w:rPr>
              <w:t xml:space="preserve">, L</w:t>
            </w:r>
            <w:r w:rsidR="00000000" w:rsidRPr="00000000" w:rsidDel="00000000">
              <w:rPr>
                <w:vertAlign w:val="subscript"/>
                <w:rtl w:val="0"/>
              </w:rPr>
              <w:t xml:space="preserve">vakars</w:t>
            </w:r>
            <w:r w:rsidR="00000000" w:rsidRPr="00000000" w:rsidDel="00000000">
              <w:rPr>
                <w:rtl w:val="0"/>
              </w:rPr>
              <w:t xml:space="preserve"> vai L</w:t>
            </w:r>
            <w:r w:rsidR="00000000" w:rsidRPr="00000000" w:rsidDel="00000000">
              <w:rPr>
                <w:vertAlign w:val="subscript"/>
                <w:rtl w:val="0"/>
              </w:rPr>
              <w:t xml:space="preserve">nakts</w:t>
            </w:r>
            <w:r w:rsidR="00000000" w:rsidRPr="00000000" w:rsidDel="00000000">
              <w:rPr>
                <w:rtl w:val="0"/>
              </w:rPr>
              <w:t xml:space="preserve"> kontūrām.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noteikumu projekta anotācijā norādīt, ka, lai gan prasības ir stingrākas nekā tieši ir noteikts direktīvā, tomēr papildus līmeņus ir nepieciešams novērtēt, lai noteiktu trokšņa robežlielumu pārsniegumus.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to cilvēku skaitu (noapaļojot līdz tuvākajam simtam), kuri dzīvo aglomerācijās un ārpus aglomerācijām mājokļos, kuru trokšņa rādītāju vērtības, kas noteiktas 4 metrus virs zemes pie trokšņa iedarbībai visvairāk pakļautās fasādes, atrodas šādās trokšņa kontūrās: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14.4.1. trokšņa rādītājam L</w:t>
            </w:r>
            <w:r w:rsidR="00000000" w:rsidRPr="00000000" w:rsidDel="00000000">
              <w:rPr>
                <w:vertAlign w:val="subscript"/>
                <w:rtl w:val="0"/>
              </w:rPr>
              <w:t xml:space="preserve">dvn</w:t>
            </w:r>
            <w:r w:rsidR="00000000" w:rsidRPr="00000000" w:rsidDel="00000000">
              <w:rPr>
                <w:rtl w:val="0"/>
              </w:rPr>
              <w:t xml:space="preserve">: 50 – 54 dBA 55-59 dBA, 60-64 dBA, 65-69 dBA, 70-74 dBA,  &gt; 75 dBA;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14.4.2.  trokšņa rādītājam L</w:t>
            </w:r>
            <w:r w:rsidR="00000000" w:rsidRPr="00000000" w:rsidDel="00000000">
              <w:rPr>
                <w:vertAlign w:val="subscript"/>
                <w:rtl w:val="0"/>
              </w:rPr>
              <w:t xml:space="preserve">diena</w:t>
            </w:r>
            <w:r w:rsidR="00000000" w:rsidRPr="00000000" w:rsidDel="00000000">
              <w:rPr>
                <w:rtl w:val="0"/>
              </w:rPr>
              <w:t xml:space="preserve">: 50-54 dBA, 55-59 dBA, 60-64 dBA, 65-69 dBA, &gt; 70 dBA;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14.4.3. trokšņa rādītājam L</w:t>
            </w:r>
            <w:r w:rsidR="00000000" w:rsidRPr="00000000" w:rsidDel="00000000">
              <w:rPr>
                <w:vertAlign w:val="subscript"/>
                <w:rtl w:val="0"/>
              </w:rPr>
              <w:t xml:space="preserve">vakars</w:t>
            </w:r>
            <w:r w:rsidR="00000000" w:rsidRPr="00000000" w:rsidDel="00000000">
              <w:rPr>
                <w:rtl w:val="0"/>
              </w:rPr>
              <w:t xml:space="preserve">: 45-49 dBA, 50-54 dBA, 55-59 dBA, 60-64 dBA, 65-69 dBA, &gt; 70 dBA;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14.4.4. trokšņa rādītājam L</w:t>
            </w:r>
            <w:r w:rsidR="00000000" w:rsidRPr="00000000" w:rsidDel="00000000">
              <w:rPr>
                <w:vertAlign w:val="subscript"/>
                <w:rtl w:val="0"/>
              </w:rPr>
              <w:t xml:space="preserve">nakts</w:t>
            </w:r>
            <w:r w:rsidR="00000000" w:rsidRPr="00000000" w:rsidDel="00000000">
              <w:rPr>
                <w:rtl w:val="0"/>
              </w:rPr>
              <w:t xml:space="preserve">: 40-44 dBA, 45-49 dBA, 50-54 dBA, 55-59 dBA, 60-64 dBA, 65-69 dBA, &gt; 70 dBA.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14.4.apakšpunkts attiecas uz trokšņa stratēģiskās kartes izstrādi aglomerācijai un precīzi pārņem nacionālā likumdošanā Direktīvā 2002/49/EK noteiktās minimālās prasības trokšņa stratēģiskai kartēšanai.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cilvēku skaitu (noapaļojot līdz tuvākajam simtam), kuri dzīvo mājokļos, kuros vides trokšņa indikatoru vērtības, kas noteiktas 4 metrus virs zemes pie vides trokšņa iedarbībai visvairāk pakļautās fasādes, ir novērtētas 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cilvēku skaitu (noapaļojot līdz tuvākajam simtam), kuri dzīvo mājokļos, kuros trokšņa rādītāju vērtības, kas noteiktas 4 metrus virs zemes pie trokšņa iedarbībai visvairāk pakļautās fasādes, atrodas šādās trokšņa kontūrās: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Terminu “trokšņu rādītājs” aizvietot ar terminu “trokšņu indikators”.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Direktīvas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cilvēku skaitu (noapaļojot līdz tuvākajam simtam), kuri dzīvo mājokļos, kuros vides trokšņa indikatoru vērtības, kas noteiktas 4 metrus virs zemes pie vides trokšņa iedarbībai visvairāk pakļautās fasādes, ir novērtētas 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14.4.1. trokšņa rādītājam L</w:t>
            </w:r>
            <w:r w:rsidR="00000000" w:rsidRPr="00000000" w:rsidDel="00000000">
              <w:rPr>
                <w:vertAlign w:val="subscript"/>
                <w:rtl w:val="0"/>
              </w:rPr>
              <w:t xml:space="preserve">den</w:t>
            </w:r>
            <w:r w:rsidR="00000000" w:rsidRPr="00000000" w:rsidDel="00000000">
              <w:rPr>
                <w:rtl w:val="0"/>
              </w:rPr>
              <w:t xml:space="preserve">: 55-59 dB(A), 60-64 dB(A), 65-69 dB(A), 70-74 dB(A),  &gt; 75 dB(A)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Terminu “trokšņu rādītājs” aizvietot ar terminu “trokšņu indikators”.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Direktīvas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13.4.1. L</w:t>
            </w:r>
            <w:r w:rsidR="00000000" w:rsidRPr="00000000" w:rsidDel="00000000">
              <w:rPr>
                <w:vertAlign w:val="subscript"/>
                <w:rtl w:val="0"/>
              </w:rPr>
              <w:t xml:space="preserve">den </w:t>
            </w:r>
            <w:r w:rsidR="00000000" w:rsidRPr="00000000" w:rsidDel="00000000">
              <w:rPr>
                <w:rtl w:val="0"/>
              </w:rPr>
              <w:t xml:space="preserve">trokšņa kontūrās:  55-59 dB(A), 60-64 dB(A), 65-69 dB(A), 70-74 dB(A),  &gt; 75 dB(A)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14.4.2. trokšņa rādītājam L</w:t>
            </w:r>
            <w:r w:rsidR="00000000" w:rsidRPr="00000000" w:rsidDel="00000000">
              <w:rPr>
                <w:vertAlign w:val="subscript"/>
                <w:rtl w:val="0"/>
              </w:rPr>
              <w:t xml:space="preserve">nakts</w:t>
            </w:r>
            <w:r w:rsidR="00000000" w:rsidRPr="00000000" w:rsidDel="00000000">
              <w:rPr>
                <w:rtl w:val="0"/>
              </w:rPr>
              <w:t xml:space="preserve">: 50-54 dB(A), 55-59 dB(A), 60-64 dB(A), 65-69 dB(A), &gt; 70 dB(A);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Terminu “trokšņu rādītājs” aizvietot ar terminu “trokšņu indikators”.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Direktīvas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13.4.2. L</w:t>
            </w:r>
            <w:r w:rsidR="00000000" w:rsidRPr="00000000" w:rsidDel="00000000">
              <w:rPr>
                <w:vertAlign w:val="subscript"/>
                <w:rtl w:val="0"/>
              </w:rPr>
              <w:t xml:space="preserve">night</w:t>
            </w:r>
            <w:r w:rsidR="00000000" w:rsidRPr="00000000" w:rsidDel="00000000">
              <w:rPr>
                <w:rtl w:val="0"/>
              </w:rPr>
              <w:t xml:space="preserve"> trokšņa kontūrās: 50-54 dB(A), 55-59 dB(A), 60-64 dB(A), 65-69 dB(A), &gt; 70 dB(A);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teritorijas, kurās vides trokšņa indikatoru vērtības pārsniedz šo noteikumu 1.pielikuma 4.punktā norādītos vides trokšņa robežlielumus;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 noteikumu projekta redakcija nozīmē, ka trokšņa stratēģiskajā kartē ir nepieciešams ietvert informāciju par teritoriju grafisko attēlojumu, kurās vides trokšņa indikatoru vērtības pārsniedz vides trokšņa robežlielumus.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izziņas 57.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teritorijas, kurās vides trokšņa indikatoru vērtības pārsniedz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4.punktā norādītos vides trokšņa robežlielumus;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trokšņa robežlielumu pārsniegumus;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15.1. apakšpunktā minēto prasību “trokšņa robežlielumu pārsniegumus”, precīzi norādot, kurus no sekojošajiem rādītājiem ietver: teritorijas platību, iedzīvotāju skaitu, mājokļu skaitu, grafisku teritorijas attēlojumu ar trokšņa robežlielumu pārsniegumiem.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teritorijas, kurās vides trokšņa indikatoru vērtības pārsniedz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4.punktā norādītos vides trokšņa robežlielumus;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trokšņa robežlielumu pārsniegumus;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Terminu “trokšņa robežlielums”  aizvietot ar “trokšņa robežvērtība”.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Direktīvas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piesārņojumu" 13.pantu vides kvalitātes normatīvus iedala robežlielumos un mērķlielumos. Lai piesārņojuma regulējumā nodrošinātu vienotu terminoloģiju noteikumu projektā ietverts termins "robežlielums" un tā jēga atbilst Direktīvas 2002/49/EK termina "robežvērtība" definīcijai. Līdz ar to secināms, ka 2004. gadā, pārņemot Direktīvu 2002/49/EK nacionālā likumdošanā,  ir nodrošināta termina "robežvērtība" pārņemšana  pēc būtības, kā arī līdz šim termins "robežlielums" ir piemērots atbilstoši Direktīvā 2002/49/EK noteiktajam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teritorijas, kurās vides trokšņa indikatoru vērtības pārsniedz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4.punktā norādītos vides trokšņa robežlielumus;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to cilvēku skaitu (noapaļojot līdz tuvākajam simtam), kuri dzīvo aglomerācijās un ārpus aglomerācijām mājokļos, kur vides trokšņa indikatoru vērtības, kas noteiktas 4 metrus virs zemes pie vides trokšņa iedarbībai visvairāk pakļautās fasādes, ir novērtētas 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zemākas trokšņa rādītāju kontūras (stingrākas prasības), tiek veikts precīzāks un detalizētāks trokšņa novērtējums, kas ļauj novērtēt trokšņa robežlielumu pārsniegumus.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detalizētāka trokšņa robežlielumu pārsniegumu noteikšanas iespējams īstenot piemērotus prettrokšņa pasākumus akustiskajās diskomforta zonās. Kā arī, pieņemot nacionālā likumdošanā stingrākas prasības, tiek ievērots Direktīvā 2002/49/EK noteiktais.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uzturam Satiksmes ministrijas 29.12.2021. atzinumā ietverto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aprēķināt noteikumu projekta 15.1. apakšpunktā minētos trokšņa robežlielumu pārsniegumus, ir nepieciešams aprēķināt krietni zemāku trokšņa rādītāju kontūras nekā noteikts noteikumu projekta 15.2.2. 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aprēķinātu noteikumu projekta 15.1. apakšpunktā minētos robežlielumu pārsniegumus, ir nepieciešams novērtēt Ldiena, Lvakars un Lnakts trokšņa kontūras līmeņiem, kas pārsniedz noteikumu projekta 1. pielikuma 5.5. apakšpunkta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noteikumu projekta 15.2. apakšpunktu papildināt ar 15.2.3. un 15.2.4.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Ldvn 50 – 54 dBA kontūru - kontūras vērtību aprēķināšana neradīs papildus administratīvo slogu, jo tā būs vienāda vai mazāka par lielāko no Ldiena, Lvakars vai Lnakts kontūrām.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noteikumu projekta anotācijā norādīt, ka, lai gan prasības ir stingrākas nekā tieši ir noteikts direktīvā, tomēr, papildus līmeņus ir nepieciešams novērtēt, lai noteiktu trokšņa robežlielumu pārsniegumus.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to cilvēku skaitu (noapaļojot līdz tuvākajam simtam), kuri dzīvo aglomerācijās un ārpus aglomerācijām mājokļos, kuru trokšņa rādītāju vērtības, kas noteiktas 4 metrus virs zemes pie trokšņa iedarbībai visvairāk pakļautās fasādes, atrodas šādās trokšņa kontūrās: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15.2.1. trokšņa rādītājam Ldvn: 50 – 54 dBA 55-59 dBA, 60-64 dBA, 65-69 dBA, 70-74 dBA,  &gt; 75 dBA;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15.2.2.  trokšņa rādītājam Ldiena: 50-54 dBA, 55-59 dBA, 60-64 dBA, 65-69 dBA, &gt; 70 dBA;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15.2.3. trokšņa rādītājam Lvakars: 45-49 dBA, 50-54 dBA, 55-59 dBA, 60-64 dBA, 65-69 dBA, &gt; 70 dBA;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15.2.4. trokšņa rādītājam Lnakts: 40-44 dBA, 45-49 dBA, 50-54 dBA, 55-59 dBA, 60-64 dBA, 65-69 dBA, &gt; 70 dBA.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15.2.apakšpunktā precīzi tiek pārņemtas nacionālā likumdošanā Direktīvā 2002/49/EK noteiktās minimālās prasības trokšņa stratēģiskai kartēšanai.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to cilvēku skaitu (noapaļojot līdz tuvākajam simtam), kuri dzīvo aglomerācijās un ārpus aglomerācijām mājokļos, kur vides trokšņa indikatoru vērtības, kas noteiktas 4 metrus virs zemes pie vides trokšņa iedarbībai visvairāk pakļautās fasādes, ir novērtētas 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to cilvēku skaitu (noapaļojot līdz tuvākajam simtam), kuri dzīvo aglomerācijās un ārpus aglomerācijām mājokļos, kuru trokšņa rādītāju vērtības, kas noteiktas 4 metrus virs zemes pie trokšņa iedarbībai visvairāk pakļautās fasādes, atrodas šādās trokšņa kontūrās: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aprēķināt noteikumu projekta 15.1. apakšpunktā minētos trokšņa robežlielumu pārsniegumus, ir nepieciešams aprēķināt krietni zemāku trokšņa rādītāju kontūras nekā noteikts 15.2.2. 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aprēķinātu 15.1.  apakšpunktā minētos robežlielumu pārsniegumus, ir nepieciešams novērtēt L</w:t>
            </w:r>
            <w:r w:rsidR="00000000" w:rsidRPr="00000000" w:rsidDel="00000000">
              <w:rPr>
                <w:vertAlign w:val="subscript"/>
                <w:rtl w:val="0"/>
              </w:rPr>
              <w:t xml:space="preserve">diena</w:t>
            </w:r>
            <w:r w:rsidR="00000000" w:rsidRPr="00000000" w:rsidDel="00000000">
              <w:rPr>
                <w:rtl w:val="0"/>
              </w:rPr>
              <w:t xml:space="preserve">, L</w:t>
            </w:r>
            <w:r w:rsidR="00000000" w:rsidRPr="00000000" w:rsidDel="00000000">
              <w:rPr>
                <w:vertAlign w:val="subscript"/>
                <w:rtl w:val="0"/>
              </w:rPr>
              <w:t xml:space="preserve">vakars</w:t>
            </w:r>
            <w:r w:rsidR="00000000" w:rsidRPr="00000000" w:rsidDel="00000000">
              <w:rPr>
                <w:rtl w:val="0"/>
              </w:rPr>
              <w:t xml:space="preserve"> un L</w:t>
            </w:r>
            <w:r w:rsidR="00000000" w:rsidRPr="00000000" w:rsidDel="00000000">
              <w:rPr>
                <w:vertAlign w:val="subscript"/>
                <w:rtl w:val="0"/>
              </w:rPr>
              <w:t xml:space="preserve">nakts</w:t>
            </w:r>
            <w:r w:rsidR="00000000" w:rsidRPr="00000000" w:rsidDel="00000000">
              <w:rPr>
                <w:rtl w:val="0"/>
              </w:rPr>
              <w:t xml:space="preserve"> trokšņa kontūras līmeņiem, kas pārsniedz Noteikumu projekta 1. pielikuma 5.5. punkta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lūdzam Noteikumu projekta 15.2. apakšpunktu papildināt ar 15.2.3 un 15.2.4.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w:t>
            </w:r>
            <w:r w:rsidR="00000000" w:rsidRPr="00000000" w:rsidDel="00000000">
              <w:rPr>
                <w:vertAlign w:val="subscript"/>
                <w:rtl w:val="0"/>
              </w:rPr>
              <w:t xml:space="preserve">dvn</w:t>
            </w:r>
            <w:r w:rsidR="00000000" w:rsidRPr="00000000" w:rsidDel="00000000">
              <w:rPr>
                <w:rtl w:val="0"/>
              </w:rPr>
              <w:t xml:space="preserve"> 50 – 54 dBA kontūru - kontūras vērtību aprēķināšana neradīs papildus administratīvo slogu, jo tā būs vienāda vai mazāka par lielāko no L</w:t>
            </w:r>
            <w:r w:rsidR="00000000" w:rsidRPr="00000000" w:rsidDel="00000000">
              <w:rPr>
                <w:vertAlign w:val="subscript"/>
                <w:rtl w:val="0"/>
              </w:rPr>
              <w:t xml:space="preserve">diena</w:t>
            </w:r>
            <w:r w:rsidR="00000000" w:rsidRPr="00000000" w:rsidDel="00000000">
              <w:rPr>
                <w:rtl w:val="0"/>
              </w:rPr>
              <w:t xml:space="preserve">, L</w:t>
            </w:r>
            <w:r w:rsidR="00000000" w:rsidRPr="00000000" w:rsidDel="00000000">
              <w:rPr>
                <w:vertAlign w:val="subscript"/>
                <w:rtl w:val="0"/>
              </w:rPr>
              <w:t xml:space="preserve">vakars</w:t>
            </w:r>
            <w:r w:rsidR="00000000" w:rsidRPr="00000000" w:rsidDel="00000000">
              <w:rPr>
                <w:rtl w:val="0"/>
              </w:rPr>
              <w:t xml:space="preserve"> vai L</w:t>
            </w:r>
            <w:r w:rsidR="00000000" w:rsidRPr="00000000" w:rsidDel="00000000">
              <w:rPr>
                <w:vertAlign w:val="subscript"/>
                <w:rtl w:val="0"/>
              </w:rPr>
              <w:t xml:space="preserve">nakts</w:t>
            </w:r>
            <w:r w:rsidR="00000000" w:rsidRPr="00000000" w:rsidDel="00000000">
              <w:rPr>
                <w:rtl w:val="0"/>
              </w:rPr>
              <w:t xml:space="preserve"> kontūrām.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noteikumu projekta anotācijā norādīt, ka, lai gan prasības ir stingrākas nekā tieši ir noteikts direktīvā, tomēr, papildus līmeņus ir nepieciešams novērtēt, lai noteiktu trokšņa robežlielumu pārsniegumus.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to cilvēku skaitu (noapaļojot līdz tuvākajam simtam), kuri dzīvo aglomerācijās un ārpus aglomerācijām mājokļos, kuru trokšņa rādītāju vērtības, kas noteiktas 4 metrus virs zemes pie trokšņa iedarbībai visvairāk pakļautās fasādes, atrodas šādās trokšņa kontūrās: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15.2.1. trokšņa rādītājam L</w:t>
            </w:r>
            <w:r w:rsidR="00000000" w:rsidRPr="00000000" w:rsidDel="00000000">
              <w:rPr>
                <w:vertAlign w:val="subscript"/>
                <w:rtl w:val="0"/>
              </w:rPr>
              <w:t xml:space="preserve">dvn</w:t>
            </w:r>
            <w:r w:rsidR="00000000" w:rsidRPr="00000000" w:rsidDel="00000000">
              <w:rPr>
                <w:rtl w:val="0"/>
              </w:rPr>
              <w:t xml:space="preserve">: 50 – 54 dBA 55-59 dBA, 60-64 dBA, 65-69 dBA, 70-74 dBA,  &gt; 75 dBA;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15.2.2.  trokšņa rādītājam L</w:t>
            </w:r>
            <w:r w:rsidR="00000000" w:rsidRPr="00000000" w:rsidDel="00000000">
              <w:rPr>
                <w:vertAlign w:val="subscript"/>
                <w:rtl w:val="0"/>
              </w:rPr>
              <w:t xml:space="preserve">diena</w:t>
            </w:r>
            <w:r w:rsidR="00000000" w:rsidRPr="00000000" w:rsidDel="00000000">
              <w:rPr>
                <w:rtl w:val="0"/>
              </w:rPr>
              <w:t xml:space="preserve">: 50-54 dBA, 55-59 dBA, 60-64 dBA, 65-69 dBA, &gt; 70 dBA;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15.2.3. trokšņa rādītājam L</w:t>
            </w:r>
            <w:r w:rsidR="00000000" w:rsidRPr="00000000" w:rsidDel="00000000">
              <w:rPr>
                <w:vertAlign w:val="subscript"/>
                <w:rtl w:val="0"/>
              </w:rPr>
              <w:t xml:space="preserve">vakars</w:t>
            </w:r>
            <w:r w:rsidR="00000000" w:rsidRPr="00000000" w:rsidDel="00000000">
              <w:rPr>
                <w:rtl w:val="0"/>
              </w:rPr>
              <w:t xml:space="preserve">: 45-49 dBA, 50-54 dBA, 55-59 dBA, 60-64 dBA, 65-69 dBA, &gt; 70 dBA;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15.2.4. trokšņa rādītājam L</w:t>
            </w:r>
            <w:r w:rsidR="00000000" w:rsidRPr="00000000" w:rsidDel="00000000">
              <w:rPr>
                <w:vertAlign w:val="subscript"/>
                <w:rtl w:val="0"/>
              </w:rPr>
              <w:t xml:space="preserve">nakts</w:t>
            </w:r>
            <w:r w:rsidR="00000000" w:rsidRPr="00000000" w:rsidDel="00000000">
              <w:rPr>
                <w:rtl w:val="0"/>
              </w:rPr>
              <w:t xml:space="preserve">: 40-44 dBA, 45-49 dBA, 50-54 dBA, 55-59 dBA, 60-64 dBA, 65-69 dBA, &gt; 70 dBA.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15.2.apakšpunktā precīzi tiek pārņemtas nacionālā likumdošanā Direktīvā 2002/49/EK noteiktās minimālās prasības trokšņa stratēģiskai kartēšanai.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to cilvēku skaitu (noapaļojot līdz tuvākajam simtam), kuri dzīvo aglomerācijās un ārpus aglomerācijām mājokļos, kur vides trokšņa indikatoru vērtības, kas noteiktas 4 metrus virs zemes pie vides trokšņa iedarbībai visvairāk pakļautās fasādes, ir novērtētas 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to cilvēku skaitu (noapaļojot līdz tuvākajam simtam), kuri dzīvo aglomerācijās un ārpus aglomerācijām mājokļos, kuru trokšņa rādītāju vērtības, kas noteiktas 4 metrus virs zemes pie trokšņa iedarbībai visvairāk pakļautās fasādes, atrodas šādās trokšņa kontūrās: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Terminu “trokšņu rādītājs” aizvietot ar terminu “trokšņu indikators”.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Direktīvas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to cilvēku skaitu (noapaļojot līdz tuvākajam simtam), kuri dzīvo aglomerācijās un ārpus aglomerācijām mājokļos, kur vides trokšņa indikatoru vērtības, kas noteiktas 4 metrus virs zemes pie vides trokšņa iedarbībai visvairāk pakļautās fasādes, ir novērtētas 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15.2.1. trokšņa rādītājam L</w:t>
            </w:r>
            <w:r w:rsidR="00000000" w:rsidRPr="00000000" w:rsidDel="00000000">
              <w:rPr>
                <w:vertAlign w:val="subscript"/>
                <w:rtl w:val="0"/>
              </w:rPr>
              <w:t xml:space="preserve">den</w:t>
            </w:r>
            <w:r w:rsidR="00000000" w:rsidRPr="00000000" w:rsidDel="00000000">
              <w:rPr>
                <w:rtl w:val="0"/>
              </w:rPr>
              <w:t xml:space="preserve">: 55-59 dB(A), 60-64 dB(A), 65-69 dB(A), 70-74 dB(A), &gt; 75 dB(A);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Terminu “trokšņu rādītājs” aizvietot ar terminu “trokšņu indikators”.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Direktīvas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14.2.1. L</w:t>
            </w:r>
            <w:r w:rsidR="00000000" w:rsidRPr="00000000" w:rsidDel="00000000">
              <w:rPr>
                <w:vertAlign w:val="subscript"/>
                <w:rtl w:val="0"/>
              </w:rPr>
              <w:t xml:space="preserve">den </w:t>
            </w:r>
            <w:r w:rsidR="00000000" w:rsidRPr="00000000" w:rsidDel="00000000">
              <w:rPr>
                <w:rtl w:val="0"/>
              </w:rPr>
              <w:t xml:space="preserve">trokšņa kontūrās:55-59 dB(A), 60-64 dB(A), 65-69 dB(A), 70-74 dB(A), &gt; 75 dB(A);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15.2.2. trokšņa rādītājam L</w:t>
            </w:r>
            <w:r w:rsidR="00000000" w:rsidRPr="00000000" w:rsidDel="00000000">
              <w:rPr>
                <w:vertAlign w:val="subscript"/>
                <w:rtl w:val="0"/>
              </w:rPr>
              <w:t xml:space="preserve">nakts</w:t>
            </w:r>
            <w:r w:rsidR="00000000" w:rsidRPr="00000000" w:rsidDel="00000000">
              <w:rPr>
                <w:rtl w:val="0"/>
              </w:rPr>
              <w:t xml:space="preserve">: 50-54 dB(A), 55-59 dB(A), 60-64 dB(A), 65-69 dB(A), &gt; 70 dB(A);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Terminu “trokšņu rādītājs” aizvietot ar terminu “trokšņu indikators”.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Direktīvas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14.2.2. L</w:t>
            </w:r>
            <w:r w:rsidR="00000000" w:rsidRPr="00000000" w:rsidDel="00000000">
              <w:rPr>
                <w:vertAlign w:val="subscript"/>
                <w:rtl w:val="0"/>
              </w:rPr>
              <w:t xml:space="preserve">night</w:t>
            </w:r>
            <w:r w:rsidR="00000000" w:rsidRPr="00000000" w:rsidDel="00000000">
              <w:rPr>
                <w:rtl w:val="0"/>
              </w:rPr>
              <w:t xml:space="preserve"> trokšņa kontūrās: 50-54 dB(A), 55-59 dB(A), 60-64 dB(A), 65-69 dB(A), &gt; 70 dB(A);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kopējo platību (km</w:t>
            </w:r>
            <w:r w:rsidR="00000000" w:rsidRPr="00000000" w:rsidDel="00000000">
              <w:rPr>
                <w:vertAlign w:val="superscript"/>
                <w:rtl w:val="0"/>
              </w:rPr>
              <w:t xml:space="preserve">2</w:t>
            </w:r>
            <w:r w:rsidR="00000000" w:rsidRPr="00000000" w:rsidDel="00000000">
              <w:rPr>
                <w:rtl w:val="0"/>
              </w:rPr>
              <w:t xml:space="preserve">), kas pakļauta tāda trokšņa iedarbībai, kuram trokšņa rādītāja L</w:t>
            </w:r>
            <w:r w:rsidR="00000000" w:rsidRPr="00000000" w:rsidDel="00000000">
              <w:rPr>
                <w:vertAlign w:val="subscript"/>
                <w:rtl w:val="0"/>
              </w:rPr>
              <w:t xml:space="preserve">den</w:t>
            </w:r>
            <w:r w:rsidR="00000000" w:rsidRPr="00000000" w:rsidDel="00000000">
              <w:rPr>
                <w:rtl w:val="0"/>
              </w:rPr>
              <w:t xml:space="preserve"> vērtības ir lielākas nekā attiecīgi 55 dB(A), 65 dB(A) un 75 dB(A). Norāda arī mājokļu skaitu un to cilvēku skaitu (noapaļojot līdz tuvākajam simtam), kas dzīvo katrā no minētajām platībām, ietverot aglomerācijas. Trokšņu kontūras 55 dB(A) un 65 dB(A) attēlo arī vienā vai vairākās kartēs, kurās redzams pagastu, pilsētu un aglomerāciju izvietojums.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Terminu “trokšņu rādītājs” aizvietot ar terminu “trokšņu indikators”.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Direktīvas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kopējo platību (km</w:t>
            </w:r>
            <w:r w:rsidR="00000000" w:rsidRPr="00000000" w:rsidDel="00000000">
              <w:rPr>
                <w:vertAlign w:val="superscript"/>
                <w:rtl w:val="0"/>
              </w:rPr>
              <w:t xml:space="preserve">2</w:t>
            </w:r>
            <w:r w:rsidR="00000000" w:rsidRPr="00000000" w:rsidDel="00000000">
              <w:rPr>
                <w:rtl w:val="0"/>
              </w:rPr>
              <w:t xml:space="preserve">), kas pakļauta tāda vides trokšņa iedarbībai, kuram vides trokšņa indikatora L</w:t>
            </w:r>
            <w:r w:rsidR="00000000" w:rsidRPr="00000000" w:rsidDel="00000000">
              <w:rPr>
                <w:vertAlign w:val="subscript"/>
                <w:rtl w:val="0"/>
              </w:rPr>
              <w:t xml:space="preserve">den</w:t>
            </w:r>
            <w:r w:rsidR="00000000" w:rsidRPr="00000000" w:rsidDel="00000000">
              <w:rPr>
                <w:rtl w:val="0"/>
              </w:rPr>
              <w:t xml:space="preserve"> vērtības ir lielākas nekā attiecīgi 55 dB(A), 65 dB(A) un 75 dB(A). Norāda arī mājokļu skaitu un to cilvēku skaitu (noapaļojot līdz tuvākajam simtam), kas dzīvo katrā no minētajām platībām, ietverot aglomerācijas. Trokšņu kontūras 55 dB(A) un 65 dB(A) attēlo arī vienā vai vairākās kartēs, kurās redzams pagastu, pilsētu un aglomerāciju izvietojums.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kopsavilkumā par aglomerācijai izstrādātu trokšņa stratēģisko karti ietver vismaz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noteikumu projekta uztveramību, lūdzam noteikumu projektā ievērot secīgu un loģisku iedalījumu punktos un 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izvērtēt iespēju 16.1. apakšpunktu ar tā apakšpunktiem veidot kā atsevišķu 17. punktu (tāpat darīt arī 16.2. apakšpunktam ar tā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izvērtēt iespēju izdalīt 22.2 apakšpunkta 2. un 3. teikumu (vai tikai 3. teikumu) (ar tā apakšpunktiem) kā atsevišķu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izvērtēt iespēju 33.5. apakšpunkta pārveidot par jaunu punktu, ņemot vērā, ka tur ir runa par paziņojumu pēc rīcības plāna apstiprināšanas, tātad saturiski par kaut ko citu, nekā iepriekš 33. punktā (tas pats princips attiecināms uz 33.6.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Aicinām izvērtēt iespēju noteikumu projekta 1. pielikuma 2. punktu apvienot ar 3. punktu un izdalīt apakšpunktus.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projekta 2. pielikuma 2.3., 2.4., 2.5. apakšpunkti neiederas loģiskā izkārtojumā kā apakšpunkti, jo 2. punkts paredz divu formulu uzskaitījumu, kā arī 3.1. punkts neiederās kā apakšpunkts pie 3. punkta. Attiecīgi lūdzam izdalīt kā atsevišķus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16.1.4. apkopotu informāciju par trokšņa stratēģiskajās kartēs ietvertajiem datiem un trokšņa robežlielumu pārsniegumiem;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Terminu “trokšņa robežlielums”  aizvietot ar “trokšņa robežvērtība”.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Direktīvas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piesārņojumu" 13.pantu vides kvalitātes normatīvus iedala robežlielumos un mērķlielumos. Lai piesārņojuma regulējumā nodrošinātu vienotu terminoloģiju noteikumu projektā ietverts termins "robežlielums" un tā jēga atbilst Direktīvas 2002/49/EK termina "robežvērtība" definīcijai. Līdz ar to secināms, ka 2004. gadā, pārņemot Direktīvu 2002/49/EK nacionālā likumdošanā,  ir nodrošināta termina "robežvērtība" pārņemšana  pēc būtības, kā arī līdz šim termins "robežlielums" ir piemērots atbilstoši Direktīvā 2002/49/EK noteiktajam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16.2.3. apkopotu informāciju par trokšņa stratēģiskajās kartēs ietvertajiem datiem un trokšņa robežlielumu pārsniegumiem.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Terminu “trokšņa robežlielums”  aizvietot ar “trokšņa robežvērtība”.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Direktīvas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piesārņojumu" 13.pantu vides kvalitātes normatīvus iedala robežlielumos un mērķlielumos. Lai piesārņojuma regulējumā nodrošinātu vienotu terminoloģiju noteikumu projektā ietverts termins "robežlielums" un tā jēga atbilst Direktīvas 2002/49/EK termina "robežvērtība" definīcijai. Līdz ar to secināms, ka 2004. gadā, pārņemot Direktīvu 2002/49/EK nacionālā likumdošanā,  ir nodrošināta termina "robežvērtība" pārņemšana  pēc būtības, kā arī līdz šim termins "robežlielums" ir piemērots atbilstoši Direktīvā 2002/49/EK noteiktajam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Aglomerācijas pašvaldība apstiprina aglomerācijas trokšņa stratēģisko karti atbilstoši normatīvajos aktos noteiktajā kārtībā, kādā apstiprina pašvaldības teritorijas attīstības programmu un teritorijas plānojumu.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 un 29. punktā paredzēts, ka aglomerācijas pašvaldība apstiprina aglomerācijas trokšņa stratēģisko karti normatīvajos aktos noteiktajā kārtībā, kādā apstiprina pašvaldības teritorijas attīstības programmu un teritorijas plānojumu. Vēršam uzmanību, ka vietējās pašvaldības teritorijas attīstības programmu apstiprina ar pašvaldības domes lēmumu (Teritorijas attīstības plānošanas likuma 22. panta trešā daļa), savukārt vietējās pašvaldības teritorijas plānojumu apstiprina ar pašvaldības saistošajiem noteikumiem (Teritorijas attīstības plānošanas likuma 25. panta pirmā daļa). Attiecīgi, lai nodrošinātu normas nepārprotamu piemērošanu, lūdzam precizēt noteikumu projekta 18. un 29. punktu, norādot konkrētu dokumentu, kura apstiprināšanai noteiktajai kārtībai atbilst aglomerācijas trokšņa stratēģiskās kartes vai rīcības plāna apstiprināšana. Papildus aicinām izmantot ar Teritorijas attīstības plānošanas likumu saskanīgu terminoloģiju (“vietējās pašvaldības”, nevis “pašvaldības”).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Aglomerācijas pašvaldība ar attiecīgās pašvaldības domes lēmumu apstiprina ar Centru saskaņoto aglomerācijas vides trokšņa stratēģisko karti.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Aglomerācijas pašvaldība apstiprina aglomerācijas vides trokšņa stratēģisko karti.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Tieslietu ministrijas 2021. gada 23. decembra iebilduma noteikumu projekta 20. punkts precizēts, svītrojot teikuma daļu “atbilstoši normatīvajos aktos noteiktajā kārtībā, kādā apstiprina pašvaldības teritorijas attīstības programmu un teritorijas plānojumu”, taču nesniedzot skaidrojumu, kā iebildums ņemts vērā un kādēļ veikti tieši šādi precizējumi. Vēršam uzmanību, ka iebildums nav korekti ņemts vērā. Lūdzam normā norādīt, ar kādu dokumentu pašvaldība apstiprina vides trokšņa stratēģisko karti (salīdzinājumam sk. MK noteikumu Nr. 16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Aglomerācijas pašvaldība ar attiecīgās pašvaldības domes lēmumu apstiprina ar Centru saskaņoto aglomerācijas vides trokšņa stratēģisko karti.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Sabiedrības informēšana par vides trokšņa stratēģisko karšu izstrādi un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Pārskatāmības labad lūdzam apsvērt iespēju regulējumu par sabiedrības informēšanu izdalīt atsevišķā nodaļā, attiecīgi arī regulējumu, kas šobrīd paredzēts vienā punktā (29. punktā), izdalot vairākos punktos (salīdzinājumam sk. MK noteikumu Nr. 16 IV un VI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Sabiedrības informēšana par vides trokšņa stratēģisko karšu izstrādi un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23. punktu formulēt kā tiesību normu, nevis kā virsrakstu, piemēram, izsakot to šādā redakcijā: “Sabiedrības informēšanai par vides trokšņa stratēģisko karšu izstrādi un apstiprināšanu:” vai “Lai informētu sabiedrību par vides trokšņa stratēģisko karšu izstrādi un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aglomerācijas pašvaldība, transporta infrastruktūras objekta pārvaldītājs un attiecīgā transporta infrastruktūras objekta valsts kapitāldaļu turētājs 10 darba dienu laikā pēc vides trokšņa stratēģiskās kartes apstiprināšanas šo noteikumu </w:t>
            </w:r>
            <w:r w:rsidR="00000000" w:rsidRPr="00000000" w:rsidDel="00000000">
              <w:rPr>
                <w:rtl w:val="0"/>
              </w:rPr>
              <w:t xml:space="preserve">23.2. </w:t>
            </w:r>
            <w:r w:rsidR="00000000" w:rsidRPr="00000000" w:rsidDel="00000000">
              <w:rPr>
                <w:rtl w:val="0"/>
              </w:rPr>
              <w:t xml:space="preserve">apakšpunktā</w:t>
            </w:r>
            <w:r w:rsidR="00000000" w:rsidRPr="00000000" w:rsidDel="00000000">
              <w:rPr>
                <w:rtl w:val="0"/>
              </w:rPr>
              <w:t xml:space="preserve"> minēto paziņojumu ievieto savā tīmekļvietnē, nosūta to trokšņa ietekmētajai pašvaldībai ievietošanai pašvaldības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vairākkārt lietoto jēdzienu “trokšņa ietekmētā pašvaldība”, aicinām apsvērt iespēju to definēt noteikumu projekta 2. punktā vai arī iekļaut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anotācijas 1.3.punktā sadaļu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Rīcības plānu  izstrādā šo noteikumu šajos noteikumos minētajām ​aglomerācijām un galveniem autoceļiem, galveniem dzelzceļiem un galvenai lidostai​, kam ir izstrādātas vides trokšņa stratēģiskās kartes. Rīcības plānus izstrādā visām aglomerācijām ar vairāk nekā 250 000 iedzīvotāju, autoceļiem, pa kuriem gadā brauc vairāk nekā seši miljoni transportlīdzekļu gadā un dzelzceļa līnijām, pa kurām brauc vairāk nekā 60 000 vilcienu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2.5. apakšpunktā lietotais termins  "galvenā dzelzceļa līnija" - dzelzceļa līnija, uz kuras satiksmes intensitāte ir vairāk nekā 30 000 vilcienu sastāvu gadā, šķiet, rada pretrunas noteikumu projekta 24. punktā ietvertajam, ka rīcības planu jāizstrādā arī dzelzceļa līnijām, kuras nav galvenās, bet pa kurām brauc vairāk nekā 60 000 vilcienu gadā. Pēc skaitlisko vērtību gradācijas, ja pa kādu dzelzceļa līniju brauktu vairāk nekā 60 000 vilcienu gadā, tad tā būtu vērtējama kā galvenā dzelzceļa līnija, nevis līnija, kur satiksmes intensitāte ir uz pusi mazāka (šobrīd saukta par "galveno dzelzceļa līniju").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skaidrot noteikumu projekta 2.5. apakšpunkta termina un 24. punkta redakcijas konsekvenci un iespējamās pretrunas to formulējumā.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netiek ņemts vērā augstāk minētais, lai nodrošināt formulējumu konsekvenci visā noteikumu projektā, lūdzam vārdus “pa kurām brauc vairāk nekā 60 000 vilcienu gadā” aizstāt ar vārdiem “kur satiksmes intensitāte ir lielāka nekā 60 000 vilcienu sastāvu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uzmanīau, ka Atbilstoši noteikumu projekta 2.4. apakšpunktam termins “galvenais autoceļš” ir noteikts kā tāds, uz kura satiksmes intensitāte ir vairāk nekā trīs miljoni transportlīdzekļu gadā. Līdz ar to noteikumu projekta 8.punkta teksta daļa “autoceļiem, pa kuriem gadā brauc vairāk nekā seši miljoni transportlīdzekļu gadā” ir lieka un maldinoša.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Rīcības plānu izstrādā aglomerācijām, galvenajiem autoceļiem, galvenajām dzelzceļa līnijām un galvenajām lidostām, kam ir izstrādātas vides trokšņa stratēģiskās kartes.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Rīcības plānu  izstrādā šo noteikumu šajos noteikumos minētajām ​aglomerācijām un galveniem autoceļiem, galveniem dzelzceļiem un galvenai lidostai​, kam ir izstrādātas vides trokšņa stratēģiskās kartes. Rīcības plānus izstrādā visām aglomerācijām ar vairāk nekā 250 000 iedzīvotāju, autoceļiem, pa kuriem gadā brauc vairāk nekā seši miljoni transportlīdzekļu gadā un dzelzceļa līnijām, pa kurām brauc vairāk nekā 60 000 vilcienu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VM 22.12.2021. iebildumu un atkārtoti lūdzam papildināt noteikumu projekta 24.punktu (iepriekšējā redakcijā 23.punkts), dodot iespēju rīcības plānu trokšņa pārvaldībai izstrādāt arī tām pašvaldībām, kas iedzīvotāju skaita ziņā neatbilst aglomerācijas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Trokšņu karšu izstrādes metodikā kā koeficients vai kāds cits ieejas parametrs netiek izmantots iedzīvotāju skaits aglomerācijā, tāpēc metodes statistiskā ticamība nav saistīta ar aglomerācijas lielumu. VM ieskatā arī citām apdzīvotām vietām, kas neatbilst aglomerācijas kritērijiem, bet kurām ir izstrādātas trokšņa stratēģiskās kartes, rīcības plāni var tikt izstrādāti pēc vietējās pašvaldības  iniciatīvas. Tas ļautu pašvaldībām saprast savas individuālās iespējas rīcībai, kad vietējiem iedzīvotājiem trokšņa piesārņojums varētu būt aktuāls, neatkarīgi no Direktīvā noteiktajiem minimālajiem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ar mērķi noteikt kārtību, kādā izstrādā vides trokšņa stratēģiskās kartes un rīcības plānus vides trokšņa pārvaldībai (turpmāk – rīcības plāni). Norādāms, ka prasība par vides trokšņa stratēģisko karšu un rīcības plānu izstrādi ir attiecināma uz augstas intensitātes satiksmes infrastruktūrām un lielām aglomerācijām atbilstoši Direktīvā 2002/49/EK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nav ietvertas prasības vispārīgai trokšņa pārvaldībai, kas jau ir noteiktas būvniecības būvakustikas regulējumā (MK noteikumu Nr.312 51.-61. punkti) un teritorijas plānošanas regulējumā (Ministru kabineta 2013. gada 30. aprīļa noteikumu “Vispārīgie teritorijas plānošanas, izmantošanas un apbūves noteikumu” prasības par aizsardzību pret troksni un piesārņojumu, tai skaitām 147.1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Rīcības plānu izstrādā aglomerācijām, galvenajiem autoceļiem, galvenajām dzelzceļa līnijām un galvenajām lidostām, kam ir izstrādātas vides trokšņa stratēģiskās kartes.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Rīcības plānu izstrādā aglomerācijām, galvenajiem autoceļiem, galvenajām dzelzceļa līnijām un galvenajām lidostām, kam ir izstrādātas trokšņa stratēģiskās kartes.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23.punktu, dodot iespēju rīcības plānu trokšņa pārvaldībai izstrādāt arī tām pašvaldībām, kas neatbilst aglomerācijas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plānu izstrādā aglomerācijām, galvenajiem autoceļiem, galvenajām dzelzceļa līnijām un galvenajām lidostām, kam ir izstrādātas trokšņa stratēģiskās kartes. </w:t>
            </w:r>
            <w:r w:rsidR="00000000" w:rsidRPr="00000000" w:rsidDel="00000000">
              <w:rPr>
                <w:u w:val="single"/>
                <w:rtl w:val="0"/>
              </w:rPr>
              <w:t xml:space="preserve">Citām apdzīvotām vietām, kas neatbilst aglomerācijas kritērijiem, bet kurām ir izstrādātas trokšņa stratēģiskās kartes, rīcības plāni var tikt izstrādāti pēc vietējās pašvaldības  iniciatīvas.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Trokšņa stratēģisko karšu izstrādē izmantojamās, ar Direktīvu 2002/49/EK noteiktās kopējās trokšņa novērtēšanas (aprēķinu) metodes ir statistiski ticamas attiecībā uz Direktīvas 2002/49/EK tvērumu.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Rīcības plānu izstrādā aglomerācijām, galvenajiem autoceļiem, galvenajām dzelzceļa līnijām un galvenajām lidostām, kam ir izstrādātas vides trokšņa stratēģiskās kartes.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Lai informētu sabiedrību par vides troksni un sagatavotu rīcības plānus, izstrādā vides trokšņa stratēģiskās kartes. Vides trokšņa stratēģiskās kartes izstrādā  saskaņā ar šo noteikumu prasībām, kā arī tajās ietver: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 punktā ietvertā piebilde, ka vides trokšņa stratēģiskās kartes izstrādā saskaņā ar šo noteikumu prasībām, ir lieka, attiecīgi lūdzam to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5. punktā norādītās trokšņa rādītāju vērtības;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Terminu “trokšņu rādītājs” aizvietot ar terminu “trokšņu indikators”.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Direktīvas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4. punktā norādītās vides trokšņa indikatoru vērtības;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 veiktos un plānotos pasākumus (arī ilgtermiņā) trokšņa samazināšanai vai esošās situācijas saglabāšanai teritorijās, kurās trokšņa rādītāji atbilst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1.pielikuma 5. punktam. Norāda arī pirms rīcības plāna izstrādātos dokumentus trokšņa samazināšanai vai esošās situācijas saglabāšanai;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Terminu “trokšņu rādītājs” aizvietot ar terminu “trokšņu indikators”.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Direktīvas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 veiktos un turpmāko piecu gadu laikā un ilgtermiņā plānotos pasākumus vides trokšņa samazināšanai vai esošās situācijas saglabāšanai teritorijās, kurās vides trokšņa indikatori atbilst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4. punktā norādītiem vides trokšņa robežlielumiem. Norāda arī pirms rīcības plāna izstrādātos dokumentus vides trokšņa samazināšanai vai esošās situācijas saglabāšanai;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 pasākumus, kurus aglomerācijas pašvaldība vai transporta infrastruktūras objekta pārvaldītājs paredzējis veikt turpmāko piecu gadu laikā trokšņa samazināšanai vai esošās situācijas saglabāšanai teritorijās, kurās trokšņa rādītāji atbilst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5.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25.8. apakšpunkta pirmais teikums un 25.9. apakšpunkts saturiski ir ļoti līdzīgi. Attiecīgi aicinām izvērtēt, vai 25.9. apakšpunktā ietvertais regulējums nedublē 25.8. apakšpunkta 1. teikumu un, ja nepieciešams, atbilstoši precizēt noteikumu projektu. Alternatīvi lūdzam skaidrot 25.9. apakšpunkta tvērumu atšķirībā no 25.8.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 pasākumus, kurus aglomerācijas pašvaldība vai transporta infrastruktūras objekta pārvaldītājs paredzējis veikt turpmāko piecu gadu laikā trokšņa samazināšanai vai esošās situācijas saglabāšanai teritorijās, kurās trokšņa rādītāji atbilst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5.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Terminu “trokšņu rādītājs” aizvietot ar terminu “trokšņu indikators”.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Direktīvas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to cilvēku skaita novērtējumu (noapaļojot līdz tuvākajam simtam), kuri atrodas vides trokšņa iedarbībai pakļautajā rajonā.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projekta 13.4. apakšpunkts izteikts pietiekami precīzi, salīdzinot ar noteikumos Nr. 16 lietoto formulējumu "novērtēto cilvēku skaits". Paužam bažas, ka pie pašreizējā formulējuma nav pilnīgi skaidrs, vai jānorāda cilvēku skaits vai kāds novērtējums (pēdējā gadījumā nav arī pilnīgi skaidrs, kas tas par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Sabiedrības informēšana par rīcības plāna izstrādi: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atkārtoto saskaņošanu noteikumu projekta 29. punktā precizēts regulējums par sabiedrības līdzdalību par rīcības plāna izstrādi, svītrojot daļu no iepriekš iekļautajām normām un tā vietā iekļaujot atsauces uz normatīvajiem aktiem par sabiedrības līdzdalības nodrošināšanu. Aicinām skaidrot minētās izmaiņas, ņemot vērā Ministru kabineta 2009. gada 25. augusta noteikumos Nr. 970 “Sabiedrības līdzdalības kārtība attīstības plānošanas procesā” regulējumu (sk. I nodaļu, it īpaši 4.2. apakšpunktu). Papildus lūdzam novērst pretrunas attiecībā uz rīcības plāna izstrādes stadiju brīdī, kad notiek sabiedrības līdzdalība. Proti,  dažviet ir runa par rīcības plāna projektu (sk., piemēram, 29.2. apakšpunktu), taču dažviet ir norādes jau uz apstiprinātu rīcības plānu (sk., piemēram, 29.2.1. apakšpunktu). Attiecīgi lūdzam precizēt projektu vai sniegt skaidrojumus.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transporta infrastruktūras objekta pārvaldītājs un attiecīgā transporta infrastruktūras objekta valsts kapitāldaļu turētājs šo noteikumu </w:t>
            </w:r>
            <w:r w:rsidR="00000000" w:rsidRPr="00000000" w:rsidDel="00000000">
              <w:rPr>
                <w:rtl w:val="0"/>
              </w:rPr>
              <w:t xml:space="preserve">29.2. </w:t>
            </w:r>
            <w:r w:rsidR="00000000" w:rsidRPr="00000000" w:rsidDel="00000000">
              <w:rPr>
                <w:rtl w:val="0"/>
              </w:rPr>
              <w:t xml:space="preserve">apakšpunktā</w:t>
            </w:r>
            <w:r w:rsidR="00000000" w:rsidRPr="00000000" w:rsidDel="00000000">
              <w:rPr>
                <w:rtl w:val="0"/>
              </w:rPr>
              <w:t xml:space="preserve"> 29.2. apakšpunktā minēto paziņojumu nosūta transporta infrastrukūras objekta trokšņa ietekmētajai pašvaldībai ievietošanai pašvaldības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uz neuzmanības kļūdu noteikumu projekta 29.3. apakšpunktā (proti, dubulto atsauci uz noteikumu 29.2. apakšpunktu). Attiecīgi lūdzam novērst nepilnību.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vides trokšņa stratēģiskās kartes izstrādes sagatavo vides trokšņa kartes kopsavilkumu (ne garāku par 10 lapām). Lai kopsavilkums būtu viegli saprotams sabiedrībai, tajā nelieto tehniskus terminus un detalizētu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17. un 28. punktu, norādot, kas sagatavo vides trokšņa stratēģiskās kartes (lūdzam turklāt lietot vienveidīgu formulējumu attiecībā uz kartes nosaukumu) un rīcības plāna kopsavilkumu (salīdzinājumam lūdzam sk., piemēram, noteikumu Nr. 16 40.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Vides trokšņa stratēģiskās kartes izstrādātājs pēc vides trokšņa stratēģiskās kartes izstrādes sagatavo vides trokšņa kartes kopsavilkumu (ne garāku par 10 lapām). Lai kopsavilkums būtu viegli saprotams sabiedrībai, tajā nelieto tehniskus terminus un detalizētu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Apstiprināto rīcības plānu un tā kopsavilkumu iesniedz Centrā, kas nodrošina šo dokumentu uzglabāšanu.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nepārprotamu uzliktā pienākuma izpildi, lūdzam noteikumu projekta 31. punktā (un citviet noteikumu projektā, kur ietverts līdzīgs regulējums) precizēt tiesību normas subjektu, kam tiek uzlikts pienākums iesniegt dokumentu Centrā.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Aglomerācijas pašvaldība un attiecīgā transporta infrastruktūras objekta pārvaldītājs pirms vides trokšņa stratēģiskās kartes apstiprināšanas to saskaņo ar valsts sabiedrību ar ierobežotu atbildību “Latvijas Vides, ģeoloģijas un meteoroloģijas centrs” (turpmāk – Centrs). Centrs atzinumu par vides trokšņa stratēģisko karti sniedz 15 darba dienu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20. un 29. punkta normu sekmīgas piemērošanas nolūkā aicinām precizēt projektu vai skaidrot anotācijā, kādu secinājumu tieši centrs sniedz atzinumā (salīdzinājumam sk. noteikumu Nr. 16 27. punktā ietverto norādi uz "atzinumu par [..] atbilstību šajos noteikumos minētajām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Aglomerācijas pašvaldība un attiecīgā transporta infrastruktūras objekta pārvaldītājs pirms vides trokšņa stratēģiskās kartes apstiprināšanas to saskaņo ar valsts sabiedrību ar ierobežotu atbildību “Latvijas Vides, ģeoloģijas un meteoroloģijas centrs” (turpmāk – Centrs). Centrs 15 darba dienu laikā sniedz atzinumu par vides trokšņa stratēģisko karšu atbilstību šajos noteikumos minētajām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33.3.2. sanāksmē ir tiesīga piedalīties un izteikt priekšlikumus jebkura persona. Persona, kas piedalījusies sanāksmē, attiecīgajā pašvaldībā var iepazīties ar sanāksmes protokolu un ne vēlāk kā triju darbdienu laikā pēc sanāksmes iesniegt iesniegumu, kurā izteikts tās atsevišķais viedoklis. Iesniegumu aglomerācijas pašvaldība pievieno protokolam;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33.3.2. apakšpunktā minētais, ka sanāksmē ir tiesīga piedalīties un izteikt priekšlikumus jebkura persona, pēc būtības dublē jau vispārējā regulējumā par sabiedrības līdzdalību attīstības plānošanā paredzēto (sk., piemēram, Attīstības plānošanas sistēmas likuma 5. panta otrās daļas 3. punktu). Attiecīgi lūdzam svītrot minēto piebildi.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 aglomerācijas pašvaldība un transporta infrastruktūras objekta pārvaldītājs apkopo un izvērtē saņemtās rakstiskās atsauksmes un priekšlikumus par attiecīgo rīcības plāna projektu, iestrādā tos rīcības plānā, kā arī sagatavo pārskatu par priekšlikumiem. Pārskatā norāda priekšlikumus, kas ņemti vērā, un noraidītos priekšlikumus (norādot noraidīšanas pamatojumu). Aglomerācijas pašvaldība pārskatam par priekšlikumiem pievieno sabiedriskās apspriešanas sanāksmes protokolu;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un tā anotācijā lietot vienveidīgu un citiem normatīvajiem aktiem atbilstošu terminoloģiju.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33.4. apakšpunktā minēta “sabiedriskā apspriešana”. Vēršam uzmanību, ka Ministru kabineta 2009. gada 25. augusta noteikumos Nr. 970 “Sabiedrības līdzdalības kārtība attīstības plānošanas procesā” šāds termins nav sastopams, taču tiek lietoti termini “sabiedriskā apspriede” un “publiskā apspriešana”. Attiecīgi lūdzam precizēt lietoto terminu, nepieciešamības gadījumā skaidrojot tā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25.5. apakšpunktā tiek minēts termins “trokšņa kartēšanas rezultātu kopsavilkums”, taču 16. punktā – “trokšņa kartēšanas kopsavilkums”. Attiecīgi lūdzam lietot vienveidīgu terminoloģiju vai skaidrot atšķirīgu terminu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konsekventi lietot terminu “trokšņa stratēģiskā karte” (sk., piemēram, anotācijas 1.3. sadaļā lietoto terminu “trokšņa karte”).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aglomerācijas pašvaldība, transporta infrastruktūras objekta pārvaldītājs un attiecīgā transporta infrastruktūras objekta valsts kapitāldaļu turētājs 10 darba dienu laikā pēc vides trokšņa stratēģiskās kartes apstiprināšanas šo noteikumu </w:t>
            </w:r>
            <w:r w:rsidR="00000000" w:rsidRPr="00000000" w:rsidDel="00000000">
              <w:rPr>
                <w:rtl w:val="0"/>
              </w:rPr>
              <w:t xml:space="preserve">24.2. </w:t>
            </w:r>
            <w:r w:rsidR="00000000" w:rsidRPr="00000000" w:rsidDel="00000000">
              <w:rPr>
                <w:rtl w:val="0"/>
              </w:rPr>
              <w:t xml:space="preserve">apakšpunktā</w:t>
            </w:r>
            <w:r w:rsidR="00000000" w:rsidRPr="00000000" w:rsidDel="00000000">
              <w:rPr>
                <w:rtl w:val="0"/>
              </w:rPr>
              <w:t xml:space="preserve"> minēto paziņojumu ievieto savā tīmekļvietnē, nosūta to trokšņa ietekmētajai pašvaldībai ievietošanai pašvaldības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projekta 24.3. apakšpunktā paredzētais pienākums pašai aglomerācijas pašvaldībai nosūtīt paziņojumu ietekmētajai pašvaldībai ievietošanai pašvaldības tīmekļvietnē. Nav arī skaidrs, kāpēc nepieciešams paredzēt pienākumu gan transporta infrastruktūras objekta pārvaldītājam, gan attiecīgā transporta infrastruktūras objekta valsts kapitāldaļu turētājam nosūtīt attiecīgo paziņojumu, tādējādi to faktiski nosūtot dubultā. Attiecīgi aicinām izvērtēt un precizēt projekta normu, kā arī saturiski līdzīgas normas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aglomerācijas pašvaldība 10 darba dienu laikā pēc vides trokšņa stratēģiskās kartes apstiprināšanas šo noteikumu </w:t>
            </w:r>
            <w:r w:rsidR="00000000" w:rsidRPr="00000000" w:rsidDel="00000000">
              <w:rPr>
                <w:rtl w:val="0"/>
              </w:rPr>
              <w:t xml:space="preserve">23.2. </w:t>
            </w:r>
            <w:r w:rsidR="00000000" w:rsidRPr="00000000" w:rsidDel="00000000">
              <w:rPr>
                <w:rtl w:val="0"/>
              </w:rPr>
              <w:t xml:space="preserve">apakšpunktā</w:t>
            </w:r>
            <w:r w:rsidR="00000000" w:rsidRPr="00000000" w:rsidDel="00000000">
              <w:rPr>
                <w:rtl w:val="0"/>
              </w:rPr>
              <w:t xml:space="preserve"> minēto paziņojumu ievieto savā tīmekļvietnē. Transporta infrastruktūras objekta pārvaldītājs 10 darba dienu laikā pēc vides trokšņa stratēģiskās kartes apstiprināšanas šo </w:t>
            </w:r>
            <w:r w:rsidR="00000000" w:rsidRPr="00000000" w:rsidDel="00000000">
              <w:rPr>
                <w:rtl w:val="0"/>
              </w:rPr>
              <w:t xml:space="preserve">23.2. </w:t>
            </w:r>
            <w:r w:rsidR="00000000" w:rsidRPr="00000000" w:rsidDel="00000000">
              <w:rPr>
                <w:rtl w:val="0"/>
              </w:rPr>
              <w:t xml:space="preserve">apakšpunktā</w:t>
            </w:r>
            <w:r w:rsidR="00000000" w:rsidRPr="00000000" w:rsidDel="00000000">
              <w:rPr>
                <w:rtl w:val="0"/>
              </w:rPr>
              <w:t xml:space="preserve"> minēto paziņojumu ievieto savā un Satiksmes ministrijas tīmekļvietnē, kā arī nosūta vides trokšņa ietekmētajai pašvaldībai ievietošanai pašvaldības tīmekļvietnē;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Transporta infrastruktūras objekta pārvaldītājs sadarbojas ar vides trokšņa ietekmēto pašvaldību un, ievērojot vides trokšņa ietekmētās pašvaldības sniegtos priekšlikumus, izstrādā rīcības plānu galvenajiem autoceļiem, galvenajām dzelzceļa līnijām vai galvenajai lidostai. Rīcības plānu aglomerācijai izstrādā attiecīgā pašvaldība.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noteikumu Nr. 108 3.2. apakšpunktu normatīvā akta projektā neiekļauj normas, kas dublē augstāka vai tāda paša spēka normatīvā akta tiesību normās ietverto normatīvo regulējumu. Regulējums par to, kas izstrādā rīcības plānu, jau ir iekļauts likuma "Par piesārņojumu" 18.</w:t>
            </w:r>
            <w:r w:rsidR="00000000" w:rsidRPr="00000000" w:rsidDel="00000000">
              <w:rPr>
                <w:vertAlign w:val="superscript"/>
                <w:rtl w:val="0"/>
              </w:rPr>
              <w:t xml:space="preserve">1</w:t>
            </w:r>
            <w:r w:rsidR="00000000" w:rsidRPr="00000000" w:rsidDel="00000000">
              <w:rPr>
                <w:rtl w:val="0"/>
              </w:rPr>
              <w:t xml:space="preserve"> panta otrajā daļā. Attiecīgi lūdzam izvērtēt un precizēt projekta 26.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 pārskatu par sabiedrības informēšanu un par sabiedrības iesniegtajiem priekšlikumiem;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vai sniegt skaidrojumu, kādēļ projektā attiecībā uz rīcības plāna projektu vairs nav paredzēta sabiedriskā apspriešana un ar to saistītās normas (salīdzinājumam sk. noteikumu Nr. 16 37.7. apakšpunktu, 48. punktu u.c. normas). Vēršam uzmanību, ka no Direktīvas 2002/49/EK 5. pielikuma 1. punkta, šķiet, izriet prasība par sabiedrisko apspriešanu.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 pārskatu par sabiedrības informēšanu un par sabiedrības iesniegtajiem priekšlikumiem;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 veiktos un turpmāko piecu gadu laikā un ilgtermiņā plānotos pasākumus vides trokšņa samazināšanai vai esošās situācijas saglabāšanai teritorijās, kurās vides trokšņa indikatori atbilst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4. punktā norādītiem vides trokšņa robežlielumiem.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vai sniegt skaidrojumu, kādēļ projektā vairs nav norādes, ka rīcības plānā norāda arī pirms rīcības plāna izstrādātos dokumentus trokšņa samazināšanai vai esošās situācijas saglabāšanai (sk. noteikumu Nr. 16 37.8. apakšpunktu). Norādām, ka no Direktīvas 2002/49/EK VI pielikuma 1.3. apakšpunkta līdzīga prasība, šķiet, izriet (vismaz attiecībā uz Komisijai nosūtāmajiem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 veiktos un turpmāko piecu gadu laikā un ilgtermiņā plānotos pasākumus vides trokšņa samazināšanai vai esošās situācijas saglabāšanai teritorijās, kurās vides trokšņa indikatori atbilst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4. punktā norādītiem vides trokšņa robežlielumiem. Norāda arī pirms rīcības plāna izstrādātos dokumentus vides trokšņa samazināšanai vai esošās situācijas saglabāšanai;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Trokšņa stratēģisko karšu un rīcības plānu izstrādes termiņi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MK noteikumu Nr. 108 115. punktu noslēguma jautājumos nosaka pārejas kārtību no pastāvošā tiesiskā regulējuma uz jauno tiesisko regulējumu, lūdzam izvērtēt, vai noteikumu projektā ir nepieciešams izdalīt VI nodaļu un vai 43. un 44. punkti nebūtu iekļaujami nodaļā “Noslēguma jautājumi”. Papildus norādām, ka nepieciešams uzlabot šo punktu formulējumu, noformulējot to kā tiesību normu ar tiesisko sastāvu un sekām, nevis kā stāstījuma teikumus. Kā arī vēršam uzmanību, ka pienākums pārskatīt vai pārstrādāt attiecīgos dokumentus ik pēc pieciem gadiem jau ir iekļauts 21. un 32. punktā. Attiecīgi lūdzam izvērtēt un, ja nepieciešams,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Vides trokšņa stratēģiskās kartes izstrādā līdz 2022.gada 30.jūnijam un pēc apstiprināšanas tās pārskata un vajadzības gadījumā pārstrādā vismaz reizi piecos gados.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ministria iebilst vides trokšņa stratēģisko karšu izstrādes termiņam - 2022. gada 30. jūnijs. Lūdzam noteikt samērīgu termiņu vides trokšņa stratēģisko karšu izstrādei, ņemot vērā sarežģīto sagatavošanas un apstiprināšanas procesu, kā arī to, ka noteikumu projekts joprojām ir saskaņošanas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vilcienu satiksmes intensitātes datu apjomu un to apkopošanai nepieciešamo laiku, konsultantu darbu pie trokšņa karšu izstrādes, saskaņošanas un apstiprināšanas procesus, karšu izstrāde un apstiprināšana līdz noteikumu projektā norādītajam termiņam  (2022. gada 30. jūnijs) nav faktiski iespējama, uz ko iepriekš jau norādīja VAS "Latvijas dzelzceļš", lūdzot termiņa pagarinājumu.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Vides trokšņa stratēģiskās kartes izstrādā un apstiprina līdz 2022.gada 1. decembrim un iesniedz tās centrā. Pēc apstiprināšanas tās pārskata un vajadzības gadījumā pārstrādā vismaz reizi piecos gados.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Vides trokšņa stratēģiskās kartes atbilstoši šo noteikumu prasībām izstrādā līdz 2027.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Vides trokšņa stratēģiskās kartes izstrādā līdz 2022.gada 30.jūnijam un pēc apstiprināšanas tās pārskata un vajadzības gadījumā pārstrādā vismaz reizi piecos gados.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reālistisku un samērīgu termiņu vides trokšņa stratēģiskās karšu izstrādei, ņemot vērā, ka noteikumu projekts šobrīd ir saskaņošanas stadijā.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47. punkts, jo termiņi vides trokšņa stratēģisko karšu un rīcības plānu izstrādei ir noteikti likuma “Par piesārņojumu” pārejas noteikumu 11.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Vides trokšņa stratēģiskās kartes atbilstoši šo noteikumu prasībām izstrādā līdz 2027.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Pašvaldība saskaņo ar Satiksmes ministriju šo noteikumu </w:t>
            </w:r>
            <w:r w:rsidR="00000000" w:rsidRPr="00000000" w:rsidDel="00000000">
              <w:rPr>
                <w:rtl w:val="0"/>
              </w:rPr>
              <w:t xml:space="preserve">2.8.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2.9. </w:t>
            </w:r>
            <w:r w:rsidR="00000000" w:rsidRPr="00000000" w:rsidDel="00000000">
              <w:rPr>
                <w:rtl w:val="0"/>
              </w:rPr>
              <w:t xml:space="preserve">apakšpunktā</w:t>
            </w:r>
            <w:r w:rsidR="00000000" w:rsidRPr="00000000" w:rsidDel="00000000">
              <w:rPr>
                <w:rtl w:val="0"/>
              </w:rPr>
              <w:t xml:space="preserve"> minēto teritoriju izveidošanu, ja attiecīgajā teritorijā satiksmes infrastrukūras objektiem ir izstrādāta vides trokšņa stratēģiskā karte un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visas noteikumu projekta VI nodaļā iekļautās normas (vai to daļas) atbilst MK noteikumu Nr. 108  115. punktam, kas noteic: “Noslēguma jautājumos nosaka pārejas kārtību no pastāvošā tiesiskā regulējuma uz jauno tiesisko regulējumu. Noslēguma jautājumos neietver normas, kas darbojas pastāvīgi.” Papildus norādām, ka normu par MK noteikumu atzīšanu par spēkā zaudējušiem parasti raksta kā pirmo noslēguma jautājumu punktu (vairāk par noslēguma jautājumiem sk. Valsts kancelejas Normatīvo aktu projektu izstrādes rokasgrāmatas (2016) 82.lpp.). Attiecīgi lūdzam precizēt projektu. Papildus aicinām izvērtēt, vai nav nepieciešams kāds pārejas regulējums, ko iekļaut noteikumu projektā, ņemot vērā to, ka MK noteikumi Nr. 16 zaudēs spēku (piemēram, ja ir jau esošas stratēģiskās kartes un rīcības plāni).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noslēgumu jautājumu nodaļas normu secība un iekļauta norma par pārejas regulējumu attiecībā vides trokšņa stratēģiskajām kartēm un rīcības plāniem, kas izstrādāti un apstiprināti līdz šo noteikumu spēkā 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Centrs sniedz Eiropas Komisijai informāciju par vides trokšņa robežlielumiem.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kādēļ no noteikumiem Nr. 16 netiek pārņemts (pilnībā vai daļēji) 63. punkts attiecībā uz Eiropas Komisijai sniedzamo informāciju un vai tas ir atbilstoši Eiropas Savienības tiesību aktu prasībām. Lūdzam arī izvērtēt projekta 44. punkta pilnīgumu (salīdzinājumam sk. noteikumu Nr. 16 63.2.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Centrs papildus šo noteikumu </w:t>
            </w:r>
            <w:r w:rsidR="00000000" w:rsidRPr="00000000" w:rsidDel="00000000">
              <w:rPr>
                <w:rtl w:val="0"/>
              </w:rPr>
              <w:t xml:space="preserve">46. </w:t>
            </w:r>
            <w:r w:rsidR="00000000" w:rsidRPr="00000000" w:rsidDel="00000000">
              <w:rPr>
                <w:rtl w:val="0"/>
              </w:rPr>
              <w:t xml:space="preserve">punktā</w:t>
            </w:r>
            <w:r w:rsidR="00000000" w:rsidRPr="00000000" w:rsidDel="00000000">
              <w:rPr>
                <w:rtl w:val="0"/>
              </w:rPr>
              <w:t xml:space="preserve"> minētajai informācijai  sniedz Eiropas Komisijai: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Vides trokšņa stratēģiskās kartes un rīcības plānus pārskata un vajadzības gadījumā pārstrādā ik pēc pieciem gadiem pēc likumā “Par piesārņojumu” pārejas noteikumu 11. punktā noteiktā termiņa.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projekta noslēguma jautājumos ietvertās normas attiecībā uz termiņiem, kādos jāizstrādā un jāpārskata vai jāpārstrādā vides trokšņa stratēģiskās kartes un rīcības plāni, ir neskaidras un mulsinošas. Pirmkārt, projekta 46. punktā ietvertā sasaiste ar likumā “Par piesārņojumu” pārejas noteikumu 11. punktā noteikto termiņu ir mulsinoša, ņemot vērā, ka tādējādi norma, šķiet, regulē arī pagātnes situāciju (proti, attiecas arī uz pirmo piecu gadu termiņu, kas jau ir pagājis). Otrkārt, 48. punkts, šķiet, faktiski dublē 46. punktu un ir lieks. Treškārt, nav skaidrs, vai, ņemot vērā projekta 47. punktu, piecu gadu termiņu rīcības plānu pārskatīšanai skaita no 2024. gada vai no 2023. gada. Ceturtkārt, nav pārliecības par pilnīgu Direktīvas 2002/49/EK 8. panta 5. punkta pārņemšanu, kas paredz, ka rīcības plānus pārskata un vajadzības gadījumā pārstrādā, </w:t>
            </w:r>
            <w:r w:rsidR="00000000" w:rsidRPr="00000000" w:rsidDel="00000000">
              <w:rPr>
                <w:u w:val="single"/>
                <w:rtl w:val="0"/>
              </w:rPr>
              <w:t xml:space="preserve">ja notiek svarīgas izmaiņas, kas ietekmē esošo stāvokli attiecībā uz troksni, tomēr</w:t>
            </w:r>
            <w:r w:rsidR="00000000" w:rsidRPr="00000000" w:rsidDel="00000000">
              <w:rPr>
                <w:rtl w:val="0"/>
              </w:rPr>
              <w:t xml:space="preserve"> to dara ne retāk kā reizi piecos gados pēc minēto plānu apstiprināšanas (salīdzinājumam arī lūdzam sk. noteikumu Nr. 16 43.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normatīvajam regulējumam ir jābūt skaidram un pilnīgam. Attiecīgi lūdzam pilnveidot normas, norādot konkrētus termiņus dokumentu izstrādei un pārskatīšanai.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Vides trokšņa stratēģiskās kartes atbilstoši šo noteikumu prasībām izstrādā līdz 2027.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Rīcības plānu pārskatīšana vai pārstrādāšana, kurai saskaņā ar šo noteikumu 46. punktu būtu jānotiek 2023. gadā, tiek atlikta un notiek ne vēlāk kā 2024. gada 18. jūlijā saskaņā ar Eiropas Parlamenta un Padomes 2019. gada 5. jūnija Regulas (ES) 2019/1010 par ziņošanas pienākumu pielāgošanu ar vidi saistītu tiesību aktu jomā un ar ko groza Eiropas Parlamenta un Padomes Regulas (EK) Nr. 166/2006 un (ES) Nr. 995/2010, Eiropas Parlamenta un Padomes Direktīvas 2002/49/EK, 2004/35/EK, 2007/2/EK, 2009/147/EK un 2010/63/ES, Padomes Regulas (EK) Nr. 338/97 un (EK) Nr. 2173/2005 un Padomes Direktīvu 86/278/EEK 2. panta 2)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citstarp ņemot vērā projekta 47. punktu, anotācijas 5. sadaļā, tostarp 1. tabulā, ietvert informāciju par Eiropas Parlamenta un Padomes 2019. gada 5. jūnija Regulas (EK) Nr. 166/2006 un (ES) Nr. 995/2010, Eiropas Parlamenta un Padomes Direktīvas 2002/49/EK, 2004/35/EK, 2007/2/EK, 2009/147/EK un 2010/63/ES, Padomes Regulas (EK) Nr. 338/97 un (EK) Nr. 2173/2005 un Padomes Direktīvu 86/278/EEK normu ieviešanu projektā. Aicinām arī precizēt vienību, uz kuru ietverta atsauce (proti, 2. panta 2.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Rīcības plānus izstrādā,  pārskata vai pārstrādā atbilstoši šo noteikumu prasībām līdz 2024. gada 18. jūlijam saskaņā ar Eiropas Parlamenta un Padomes 2019. gada 5. jūnija Regulas (ES) 2019/1010 par ziņošanas pienākumu pielāgošanu ar vidi saistītu tiesību aktu jomā un ar ko groza Eiropas Parlamenta un Padomes Regulas (EK) Nr. 166/2006 un (ES) Nr. 995/2010, Eiropas Parlamenta un Padomes Direktīvas 2002/49/EK, 2004/35/EK, 2007/2/EK, 2009/147/EK un 2010/63/ES, Padomes Regulas (EK) Nr. 338/97 un (EK) Nr. 2173/2005 un Padomes Direktīvu 86/278/EEK 2. panta 2) apakšpunktu.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 atsauce uz Eiropas Savienības direktīvām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Tieslietu ministrijas 2021. gada 23. decembra iebilduma par Eiropas Savienības regulas iekļaušanu informatīvajā atsaucē uz Eiropas Savienības direktīvām minētā atsauce korekti svītrota. Ņemot vērā, ka noteikumu projektā nav iekļautas atsauces uz minēto regulu, kā arī informācija par minētās regulas normu ieviešanu svītrota no anotācijas 5. sadaļas, lūdzam sniegt skaidrojumu par izdarītajām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 atsauce uz Eiropas Savienības direktīvām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Parlamenta un Padomes 2019. gada 5. jūnija Regulas (ES) 2019/1010 par ziņošanas pienākumu pielāgošanu ar vidi saistītu tiesību aktu jomā un ar ko groza Eiropas Parlamenta un Padomes Regulas (EK) Nr. 166/2006 un (ES) Nr. 995/2010, Eiropas Parlamenta un Padomes Direktīvas 2002/49/EK, 2004/35/EK, 2007/2/EK, 2009/147/EK un 2010/63/ES, Padomes Regulas (EK) Nr. 338/97 un (EK) Nr. 2173/2005 un Padomes Direktīvu 86/278/EEK;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108 162. punktu noteikumu projektā var būt informatīvas atsauces uz Eiropas Savienības direktīvām, vai uz Eiropas Savienības tehnisko noteikumu direktīvām.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kā dēļ uz tām nav jāsniedz informatīva atsauce nacionālajā normatīvajā aktā. Attiecīgi lūdzam svītrot informatīvajā atsaucē uz Eiropas Savienības </w:t>
            </w:r>
            <w:r w:rsidR="00000000" w:rsidRPr="00000000" w:rsidDel="00000000">
              <w:rPr>
                <w:u w:val="single"/>
                <w:rtl w:val="0"/>
              </w:rPr>
              <w:t xml:space="preserve">direktīvām</w:t>
            </w:r>
            <w:r w:rsidR="00000000" w:rsidRPr="00000000" w:rsidDel="00000000">
              <w:rPr>
                <w:rtl w:val="0"/>
              </w:rPr>
              <w:t xml:space="preserve"> norādi uz Eiropas Parlamenta un Padomes 2019. gada 5. jūnija Regulas (ES) 2019/1010 par ziņošanas pienākumu pielāgošanu ar vidi saistītu tiesību aktu jomā un ar ko groza Eiropas Parlamenta un Padomes Regulas (EK) Nr. 166/2006 un (ES) Nr. 995/2010, Eiropas Parlamenta un Padomes Direktīvas 2002/49/EK, 2004/35/EK, 2007/2/EK, 2009/147/EK un 2010/63/ES, Padomes Regulas (EK) Nr. 338/97 un (EK) Nr. 2173/2005 un Padomes Direktīvu 86/278/EEK (turpmāk - Regula 2019/1010).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lietā C-272/83 Komisija pret Itāliju, C-278/02 Kandlbauer, kā arī lietā C-403/98 Monte Arcosu, Recueil Eiropas Savienības tiesa norādījusi, ka pastāv iespēja, ka dalībvalstīm tomēr nākas pieņemt piemērošanas pasākumus regulu normu ieviešanai. Pienākums nodrošināt tādu normatīvo aktu bāzi, lai regulas varētu piemērot, izriet arī no Līguma par Eiropas Savienības darbību 291. panta, kas noteic, ka dalībvalstis pieņem visus tiesību aktus, kas vajadzīgi, lai īstenotu juridiski saistošos Eiropas Savienības tiesību aktus. Līdz ar to dalībvalstīm, neskatoties uz regulu tiešo piemērojamību, ir jāveic pasākumi, lai novērstu nacionālā tiesiskā regulējuma neatbilstības regulās ietvertajam vai, piemēram, izveidot administratīvas vai cita veida procedūras, lai nodrošinātu regulas pilnu darbību. Piemēram, no regulas var izrietēt pienākums: 1) izstrādāt papildus nacionālos normatīvos aktus un nodrošināt normas praktisko piemērošanu, 2) noteikt atbildīgo iestādi, kuras kompetencē būs no attiecīgās regulas izrietošo saistību pareiza piemērošana; 3) paredzēt sodus vai sankcijas par regulas normu nepildīšanu. Tādējādi, ja noteikumu projektā tiek ieviestas regulas 2019/1010 normas, lūdzam noteikumu projekta normās, kur regulas normas ieviestas, ietvert atsauces uz konkrētām regulas 2019/1010 normām atbilstoši MK noteikumu Nr. 108 170.-172.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Trokšņa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Terminu “trokšņa rādītāji” aizvietot ar “trokšņa indikatori”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Eiropas Parlamenta un Padomes Direktīvas 2002/49/EK (2002. gada 25. jūnijs) par vides trokšņa novērtēšanu un pārvaldību (turpmāk tekstā – Direktīva)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Termina “trokšņa rādītājs” harmonizēšana ar Direktīvas terminoloģiju nepieciešama, jo Latvijas likums nav prioritārs un ar lielāku juridisko spēku par Eiropas Savienības Direktīvu. Termina “trokšņa rādītājs” izcelsme ir likums “Par piesārņojumu” (1.panta 14) punkts), kurā terminam “trokšņu rādītājs” piedēvēta Direktīvā noteiktā termina “trokšņa indikators” definīcija (“trokšņa indikators” nozīmē fizikālu lielumu, ar ko raksturo to troksni vidē, kam ir saistība ar kaitīgām sekām (Direktīvas 3.panta d) apakšpunkts)). Jāņem vērā, ka nestandarta termins “trokšņa indikators” Eiropas Savienībā ir speciāli radīts kā trokšņa ar kaitīgām sekām līmeņa mērs, lai noteiktu kopējas vērtēšanas metodes attiecībā uz vides troksni un trokšņa robežvērtību definīciju, ņemot vērā saskaņotus indikatorus trokšņa līmeņa noteikšanai Lden un Lnight, vai papildus arī Lday un Levening. Piedēvējot terminam “trokšņa rādītājs” (trokšņa raksturotājs, Noise Descriptor) specifiskas, tikai trokšņa kartēšanai paredzētas īpašības – raksturot to troksni, kas rada kaitīgas sekas, tiek radīts tehniski-tiesisks paradokss gadījumā, ja “trokšņa rādītājs” ir mazāks par pieļaujamo robežvērtību un nerada kaitīgas sekas. Tādā gadījumā trokšņa rādītājs (trokšņa raksturotājs, Noise Descriptor) nav uzskatāms par fizikālu lielumu ar mērvienību, šajā gadījumā, decibelu [dB], bet neko neizsakošs skaitlis.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trokšņa indikatori.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104. punktā norādīts, ka Satiksmes ministrijas 11.05.2022. atzinumā ietvertais 15.iebildums ir ņemts vērā. Satiskmes ministrija konstatēja, ka norāde uz dzīvojamo apbūvi nav saglabāta. Līdz ar to, Satiksmes ministrija uztur minēto iebildumu un lūdz saglabāt jaukta centra apbūves un publiskās apbūves teritorijām iekavās doto norādi uz dzīvojamo apbūvi, kā arī lūdz skaidri noteikt, ka dzīvojamai apbūvei jābūt atļautai kā galvenajai izmantošanai un apvienot noteikumu projekta 1. pielikuma tabulas 1. un 2.punkta teritorijas.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1.pielikuma 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103. punktā norādīts, ka Satiksmes ministrijas 11.05.2022. atzinumā ietvertais 14.iebildums ir ņemts vērā, un noteikumu projekta "Vides trokšņa stratēģisko karšu un rīcības plānu vides trokšņa pārvaldībai izstrādes noteikumi" (Nr. 21-TA-849) un noteikumu projekta "Satiksmes un rūpniecisko objektu vides trokšņa pārvaldība" (Nr. 21-TA-871) tabulas par vides trokšņa robežlielumiem ir savstarpēji precizētas, tomēr Satiksmes ministrija konstatē neatbilstības, līdz ar to uztur minēto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precizēšanas atšķirīgais starp abām tabulām vēl joprojām ir 2. kolonnas nosaukums, kas pirmajā gadījumā ir “Apbūves teritorijas galvenais izmantošanas veids”, bet otrajā “Apbūves teritoriju izmantošanas veids”. Turklāt tikai noteikumu projekta 1.pielikumā skaidri noteikts, ka to nosaka atbilstoši teritorijas plānojumam. Papildus konstatējams, ka noteikumu projekta 1.pielikuma 5. punkta tabulā, 2.kolonnā, ir noteikts vides trokšņa robežlielums jauktas centra apbūves teritorijai, tikmēr noteikumu projekta Nr. 21-TA-871 pielikuma tabulā, 2. kolonnā - jauktām centra apbūves teritorijām, izņemot teritorijas, kurās nav atļauta dzīvojamā apbūve. Attiecībā uz viensētu apbūves teritorijām tikai noteikumu projekta Nr. 21-TA-871 pielikumā noteikts, ka robežlielumus attiecina uz teritorijām, kas ir likumīgi apbūvētas līdz šo noteikumu spēkā stāšanās dienai. Nav pieļaujams, ka saistītos normatīvajos aktos vides trokšņa robežlielumi un to piemērošanas kārtība un nosacījumi tiek noteikti  būtiski atšķirīgi, radot situāciju, ka vērtējums par atbilstību vienam un tam pašam objektam novestu pie atšķirīga rezultāta.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1.pielikuma 5. punkta tabulas 1. un 2. punkta teritoriju izmantošanas funkcija ir dzīvojamā apbūve, lūdzam tās apvienot, uz tām attiecinot daudzstāvu dzīvojamās apbūves teritoriju trokšņa robežlielumus. Tā kā būvakustiskie pasākumi nodrošina ~20dB(A) trokšņa samazinājumu, tad MK noteikumu Nr.16 4.pielikumā “Trokšņa robežlielumi telpās” noteiktais trokšņa līmenis dzīvojamās telpās un guļamtelpās atbildīs trokšņa robežlielumiem.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Satiksmes ministrijas ieskatā ir nepieciešams publiskās un jaukta centra apbūves teritorijām saglabāt iekavās doto norādi uz dzīvojamo apbūvi kā galveno atļauto izmantošanu atbilstoši MK noteikumu Nr.16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1.pielikuma “Trokšņa rādītāji” 5.punkta tabulā ir noteiktas trokšņa rādītāju vērtības (robežlielumi), izdalot atsevišķi savrupmāju apbūves un mazstāvu dzīvojamās apbūves  teritorijas un daudzstāvu dzīvojamās apbūves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Nr.16 2.pielikuma “Vides trokšņa robežlielumi un to novērtēšana” tabulā publiskajai un jauktas apbūves teritorijai iekavās ir norādīts, ka minētie robežlielumi attiecas tikai uz tādām publiskās un jauktas apbūves teritorijām, kurās atbilstoši pašvaldības teritorijas plānojumam galvenais (primārais) teritorijas izmantošanas veids ir ar dzīvojamo apbūvi. Noteikumu projekta 1.pielikuma “Trokšņa rādītāji” 5.punkta tabulā attiecībā uz publiskās apbūves teritoriju un jauktas centra apbūves teritoriju iekavās nav norādīts, ka minētie robežlielumi attiecas tikai uz teritorijām, kurās galvenais (primārais) teritorijas izmantošanas veids ir ar dzīvojamo apbūvi.  Tas nozīmē,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trokšņa robežlielumi tādā gadījumā tiks attiecināti uz jauktas un publiskās apbūves  teritorijām pilnā apjomā, neņemot vērā to, vai tajās kā galvenā (primārā) izmantošana ir vai nav noteikta dzīvojamā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trokšņa robežlielumi tiks pārsniegti lielākās platībās un tādējādi rīcības plānā paredzēto pasākumu izmaksas pieaugs, jo trokšņa samazinoši pasākumi būs jāparedz arī jauktas un publiskās apbūves teritorijām, kur ir uzbūvēti vai tiek plānoti, piemēram, biroji, tirdzniecības un pakalpojumu objekti, sporta būves, dzīvnieku aprūpes iestādes  un pat labiekārtota ārtelpa u.c, bet nav atļauta dzīvojamā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1.pielikuma 5. punkta tabulas 1. un 2. punkta teritoriju izmantošanas funkcija ir dzīvojamā apbūve, lūdzam tās apvienot, uz tām attiecinot daudzstāvu dzīvojamās apbūves teritoriju trokšņa robežlielumus. Tā kā būvakustiskie pasākumi nodrošina ~20dB(A) trokšņa samazinājumu, tad MK noteikumu Nr.16 4.pielikumā “Trokšņa robežlielumi telpās” noteiktais trokšņa līmenis dzīvojamās telpās un guļamtelpās atbildīs trokšņa robežlielumiem.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Satiksmes ministrijas ieskatā ir nepieciešams publiskās un jaukta centra apbūves teritorijām saglabāt iekavās doto norādi uz dzīvojamo apbūvi kā galveno atļauto izmantošanu atbilstoši MK noteikumu Nr.16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pielikuma 4. punktā norādītie vides trokšņa robežlielumi ir noteikti apbūves teritorijām, ņemot vērā pašvaldības teritorijas plānojumā noteikto apbūves teritorijas galveno izmantošanas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Noteikumu projekta 1. pielikuma 5. punkta tabula, gan Ministru kabineta noteikumu projekta Nr. 21-TA-871 "Satiksmes un rūpniecisko objektu vides trokšņa pārvaldība” pielikuma tabula ir gandrīz identiskas. Izņēmums ir 2. kolonnas nosaukums, kas pirmajā gadījumā ir “Apbūves teritorijas izmantošanas funkcija”, bet otrajā “Apbūves teritoriju funkcionālās zonas”, kas pēc būtības ir ar identisku jēgu. Nav skaidrs, kāpēc ir divas šādas tabulas. Lūdzam noteikumu projektā norādīt atsauci uz Ministru kabineta noteikumu projekta Nr. 21-TA-871 pielikumu.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21-TA-849 un 21-TA-871 tabulas par vides trokšņa robežlielumiem ir savstarpēji precizētas.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iekļauto skaidrojumu attiecībā uz iebildumiem par netiešo atsauču lietošanu 1. pielikumā, lūdzam anotācijā skaidrot, vai, lietojot netiešās atsauces, tiek nodrošināta pilnīga attiecīgo Eiropas Savienības direktīvu normu ieviešana (sk. trokšņa rādītāju definēšanu direktīvu normās, piemēram: Lday – izsvarotais ilgtermiņa vidējais skaņas līmenis, kas definēts ISO 1996-2: 1987 un kas noteikts, ņemot vērā visas dienas — diennakts daļas — viena gada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 pielikuma 1. punktā ietvertā norāde uz piemērojamo standartu prasībām ir pārāk vispārīga. Aicinām izvērtēt un norādīt atsauci uz piemērojamo standartu prasībām, vai vismaz identificēt standartu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trokšņa Lden aprēķināšanas formulai sniegt skaidrojumu lielumam “g".</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drukas kļūda noteikumu projekta 1.pielikumā.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Vārdu kopu “Dienas-vakara-nakts” aizvietot ar “Diennakts”.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Nosaukuma pielīdzināšana “Trokšņa stratēģisko karšu un rīcības plānu trokšņa pārvaldībai izstrādes noteikumi” pamattekstam (5.2.punktam);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Tekstā "Dienas-vakara-nakts trokšņa rādītāju Lden. decibelos (dB) nosaka pēc šādas formulas" terminu “trokšņa rādītāju” aizvietot ar “trokšņa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Direktīvas angļu valodas oriģināla terminoloģiju (The day-evening-night level Lden in decibels (dB) is defined by the following formula).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3.Labot drukas kļūdu formulā (skat. sadaļā 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Formulas paskaidrojumā tekstu "Ldiena – izsvarotais ilgtermiņa vidējais skaņas līmenis atbilstoši piemērojamo standartu prasībām un kas noteikts, ņemot vērā visas dienas (kā diennakts daļu) viena gada laikā" aizvietot ar “Ldiena – A-izsvarotais kompleksais diennakts vērtēšanas līmenis, kas definēts standartā LVS ISO 1996-1:2017 un kas noteikts, ņemot vērā visas dienas – diennakts daļas – viena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Teksta pielīdzināšana “Trokšņa stratēģisko karšu un rīcības plānu trokšņa pārvaldībai izstrādes noteikumi” pamattekstam (5.1.punktam).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Formulas paskaidrojumā tekstu "Lvakars – izsvarotais ilgtermiņa vidējais skaņas līmenis atbilstoši piemērojamo standartu prasībām un kas noteikts, ņemot vērā visus vakarus (kā diennakts daļu) viena gada laikā" aizvietot ar “Lvakars – A-izsvarotais kompleksais diennakts vērtēšanas līmenis, kas definēts standartā LVS ISO 1996-1:2017 un kas noteikts, ņemot vērā visus vakarus – diennakts daļas – viena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Teksta pielīdzināšana “Trokšņa stratēģisko karšu un rīcības plānu trokšņa pārvaldībai izstrādes noteikumi” pamattekstam (5.4.punktam).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Formulas paskaidrojumā tekstu "Lnakts – izsvarotais ilgtermiņa vidējais skaņas līmenis atbilstoši piemērojamo standartu prasībām un kas noteikts, ņemot vērā visas naktis (kā diennakts daļu) viena gada laikā" aizvietot ar “Lnakts – A-izsvarotais kompleksais diennakts vērtēšanas līmenis, kas definēts standartā LVS ISO 1996-1:2017 un kas noteikts, ņemot vērā visas naktis – diennakts daļas – viena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2., 3., 4. un 5. punktā terminu “trokšņa rādītājus” aizvietot ar “trokšņa indikatorus”.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Direktīvas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4.3. punktā terminu “akustiskajai plānošanai” aizvietot ar “prettrokšņa plānošanai”.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Direktīvas terminoloģiju un pielīdzināšana “Trokšņa stratēģisko karšu un rīcības plānu trokšņa pārvaldībai izstrādes noteikumi” pamattekstam (2.2.punktam).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5. punktā terminu “robežlielumus” aizvietot ar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Direktīvas terminoloģiju un pielīdzināšana “Trokšņa stratēģisko karšu un rīcības plānu trokšņa pārvaldībai izstrādes noteikumi” pamattekstam.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drawing>
                <wp:inline distR="101600" distT="101600" distB="101600" distL="101600">
                  <wp:extent cx="6115050" cy="723900"/>
                  <wp:effectExtent t="0" b="0" r="0" l="0"/>
                  <wp:docPr id="9" name="media/image9.png"/>
                  <a:graphic>
                    <a:graphicData uri="http://schemas.openxmlformats.org/drawingml/2006/picture">
                      <pic:pic>
                        <pic:nvPicPr>
                          <pic:cNvPr id="9" name="media/image9.png"/>
                          <pic:cNvPicPr/>
                        </pic:nvPicPr>
                        <pic:blipFill>
                          <a:blip r:embed="rId9"/>
                          <a:srcRect/>
                          <a:stretch>
                            <a:fillRect/>
                          </a:stretch>
                        </pic:blipFill>
                        <pic:spPr>
                          <a:xfrm>
                            <a:ext cx="6115050" cy="723900"/>
                          </a:xfrm>
                          <a:prstGeom prst="rect"/>
                          <a:ln/>
                        </pic:spPr>
                      </pic:pic>
                    </a:graphicData>
                  </a:graphic>
                </wp:inline>
              </w:drawing>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termins "akustiskā plānošana" aizstāts ar terminu "prettrokšņa plānošanu", termins "trokšņa rādītājs" aizstāts ar terminu "trokšņa indikators" un labota drukas kļūda formulā noteikumu projekta 1.pielikumā.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2016. gada 21.septembra Ministru kabineta rīkojuma Nr. 534 "Par konceptuālo ziņojumu "Par Latvijas nacionālās standartizācijas sistēmas pilnveidošanu"" 3. punktā noteikto, ka, izstrādājot normatīvos aktus vai izdarot grozījumus spēkā esošajos normatīvajos aktos, kuros izmantotas tiešās atsauces uz standartiem (obligāti piemērojamie standarti), jāizvērtē iespējas aizstāt tās ar netiešajām atsaucēm (piemērojamie standarti), noteikuma projektā nav iekļautas tiešas atsauces uz standartiem. Atbilstoši noteikumu projekta 7.punktā norādītajam saistībā ar šiem noteikumiem tiks sagatavots un nacionālās standartizācijas institūcijas tīmekļvietnē tiks publicēts  piemērojamo Latvijas nacionālo standartu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precīzi pārņemts Direktīvas 2002/49/EK pamattekstā ietvertie termini Lden, Ldiena, Lvakars, Lnakts, kas skaidroti Direktīvas 2002/49/EK 1.pielikumā. Atbilstoši normatīvo aktu projektu izstrādes pamatprincipiem minēto terminu definīcija ir ietverta noteikumu projekta pamattekstā , bet paskaidrojošā informācija par minētajiem terminiem ietverta noteikumu projekta 1.pielikumā.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piesārņojumu" 13.pantu vides kvalitātes normatīvus iedala robežlielumos un mērķlielumos. Lai piesārņojuma regulējumā nodrošinātu vienotu terminoloģiju noteikumu projektā ietverts termins "robežlielums" un tā jēga atbilst Direktīvas 2002/49/EK termina "robežvērtība" definīcijai. Līdz ar to secināms, ka 2004.gadā, pārņemot Direktīvu 2002/49/EK nacionālā likumdošanā, ir nodrošināta termina "robežvērtība" pārņemšana pēc būtības, kā arī līdz šim termins "robežlielums" ir piemērots atbilstoši Direktīvā 2002/49/EK noteiktajam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projektu tiek pārņemtas ne tikai anotācijas 1.2. mērķa aprakstā minētās direktīvas, lūdzam precizēt anotācijas 1.2. sadaļu. Aicinām arī izvērtēt nepieciešamību precizēt 1.1. sadaļu, ņemot vērā projekta 47. punktā ietverto atsauci uz Eiropas Parlamenta un Padomes 2019. gada 5. jūnija Regulu (ES) 2019/1010 par ziņošanas pienākumu pielāgošanu ar vidi saistītu tiesību aktu jomā un ar ko groza Eiropas Parlamenta un Padomes Regulas (EK) Nr. 166/2006 un (ES) Nr. 995/2010, Eiropas Parlamenta un Padomes Direktīvas 2002/49/EK, 2004/35/EK, 2007/2/EK, 2009/147/EK un 2010/63/ES, Padomes Regulas (EK) Nr. 338/97 un (EK) Nr. 2173/2005 un Padomes Direktīvu 86/278/EEK.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sadaļā, ņemot vērā nepieciešamību termiņā pārņemt Direktīvas 2020/367 un Deleģētās direktīvas 2021/1226 prasības, paredzēts spēkā stāšanās termiņš – 2021. gada 31. decembris. Vēršam uzmanību, ka atbilstoša norāde par spēkā stāšanās termiņu saskaņā ar MK noteikumu Nr. 108 156. punktu nav iekļauta noteikumu projektā. Turklāt, ņemot vērā, ka noteikumu projekts šobrīd ir saskaņošanas stadijā, šī spēkā stāšanās termiņa norāde nav aktuāla. Attiecīgi lūdzam precizēt anotācijas 1.2. sadaļas spēkā stāšanās termiņa norādi un pamatojumu, paredzot, ka noteikumu projekts stājas spēkā vispārējā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attiecībā uz saīsinājumu lietošanu ievērot juridiskās tehnikas prasības atbilstoši MK noteikumu Nr. 108 43. punktam. Lūdzam nelietot saīsinājumus, ja tie iepriekš nav izveidoti (sk., piemēram, anotācijas 1.2. mērķa aprakstā lietotos Eiropas Savienības tiesību aktu saīsinājumus). Vēršam uzmanību, ka noteikumu projekta 7. punktā tiek izveidots saīsinājums “piemērojamie standarti”, taču lietots tas tiek jau ātrāk – 6. punktā, kas nav atbilstoši juridiskās tehnikas prasībām attiecībā uz saīsinājumu veidošanu un lietošanu. Papildus aicinām noteikumu projektā izveidotos saīsinājumus “Centrs” un “Birojs” pārveidot ar mazo sākuma burtu (attiecīgi “centrs” un “birojs”). Attiecīgi, ņemot vērā iepriekš minēto, lūdzam precizēt noteikumu projektu un tā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projekts, kaut arī ar to daļēji plānots aizstāt noteikumos Nr. 16 ietverto regulējumu, ir jaunu Ministru kabineta noteikumu projekts, un privātpersonām, iepazīstoties ar projekta anotāciju, nebūtu vēl jāmeklē spēku zaudējušu noteikumu anotācija, lai detalizētāk iepazītos ar projektā ietverto regulējumu. Attiecīgi anotācijā nepieciešams ietvert pilnīgu informāciju par projekta regulējumu, ne tikai vispārīgi norādot, kādas nodaļas un normas ir pārņemtas, bet arī izvērstāk skaidrojot normas un to nepieciešamību. Attiecīgi lūdzam pilnveidot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ietverta nekorekta informācija par projekta pielikumiem un tajos ietverto regulējumu. Attiecīgi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risinājuma aprakstā norādīts, ka galvenā dzelzceļa līnija ir līnija, uz kuras satiksmes intensitāte ir 30 000 vilcienu sastāvu gadā. VAS “Latvijas dzelzceļš” šādas galvenās dzelzceļa līnijas ir 70,92 km garumā, atbilstoši 2017. gadā izstrādātajām trokšņa kartēm. Lūdzam norādīt atsauci uz noteikumu projekta anotācijā iekļauto galveno dzelzceļa līniju garumu (72,92 km), kā arī precizēt to garumu (anotācijā tā ir norādīta par 2 km garāka nekā 2017. gada trokšņa kartēs) noteikumu projekta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Neskaidrības radušās, jo dzelzceļa līnijas VAS “Latvijas dzelzceļš” infrastruktūrā netiek iedalītas galvenās, mazāk galvenās vai tamlīdzīgi, kā tas, piemēram, ir VAS “Latvijas Valsts ceļi”, kur ceļi tiek iedalīti reģionālajos, valsts vai starptautiskajos. Lai nodrošinātu  konsekvenci tiesību aktos (Dzelzceļa likums), lūdzam noteikumu projekta izpratnē termina “galvenā dzelzceļa līnija” vietā lietot terminu “dzelzceļa līnija’”, ar ko saprot līniju, uz kuras satiksmes intensitāte ir vairāk nekā 30 000 vilcienu sastāvu gadā, kā tas ir MK noteikumos Nr. 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Direktīvā 2002/49/EK  “galvenā dzelzceļa līnija” nozīmē dalībvalsts izraudzītu dzelzceļa līniju, pa kuru gadā brauc vairāk nekā 30 000 vilcienu sastāvi.Atsaucoties uz direktīvā lietoto terminu, galvenā dzelzceļa līnija katru gadu var mainīties direktīvas termina kontekstā, tāpēc noteikt konkrētu posmu/ līniju garumu noteikumu projekta anotācijā, šķiet nepamatoti.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pilnveidot un papildināt noteikumu projekta anotāciju ar izsmeļošāku informāciju par jaunā noteikumu projekta saturu, ne tikai vispārēji to aprakstot, bet arī skaidrojot normas, kas tajā iekļautas (piemēram, secīgi izklāstot noteikumu projekta saturu atbilstoši nodaļām un tajās iekļautajām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vairākas neprecizitātes un neskaidrības anotācijas 5. sadaļā saistībā ar Direktīvas 2002/49/EK normu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direktīvas 3. panta "v", "w" punkts, 8. panta 3. punkts, 10. panta apakšvienības, 1. pielikuma 3. punkts nav ietverti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nav 14.2. apakšpunkts (sk. informāciju par 4. pielikuma 3. punkta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precizēt skaidrojumu par direktīvas 6. panta 1. punkta pārņemšanu, proti, norma ir pārņemta projekta 8. punktā (salīdzinājumam sk. informāciju par 6. panta 3. punkta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vai nu precizēt projektu, kā arī anotācijas 5. sadaļas 1. tabulu, vai arī sniegt skaidrojumu, kā projekta 1. pielikuma 3. punktā ir pārņemta direktīvas 4. pielikuma 7. punkta prasība, ka stratēģiskās trokšņu kartes izmantošanai vietējā vai valsts līmenī jāizstrādā, citstarp ņemot vērā, ka Lden un Lnight mērījumi jāveic 5 dB diapazonā;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4. pielikuma 2., 4., 6. un 8. punkta pārņemšanu, šķiet, norādītas nekorektas vai neprecīzas vienība. Īpaši lūdzam izvērtēt un precizēt vai sniegt skaidrojumu par 4. pielikuma 4. punkta 2. teikuma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attiecībā uz 4. panta 1. punkta "a" apakšpunkta pārņemšanu noteikumu Nr. 16 anotācijas 5. sadaļā norādīts, ka norma pārņemta likuma „Par piesārņojumu” 18.1 panta pirmajā un otrajā daļā. Attiecīgi lūdzam precizēt vai pilnveidot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direktīvas 5. panta 1. punktam ir 2 teikumi, no kuriem otrais turklāt paredz dalībvalsts brīvību. Attiecīgi lūdzam precizēt tabulu, tostarp aizpildot aili par rīcības brīvības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tabulā nav informācija par direktīvas 5. panta 2. un 3. punkta, kuros turklāt ir ietverta rīcības brīvība,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attiecībā uz direktīvas 7. panta 1. punktu paužam bažas, ka norma ir pārņemta ar tabulā norādītajām attiecīgajām normām. Direktīvas normā turklāt, šķiet, ir runa par lielākām aglomerācijām un transporta infrastruktūras objektiem, nekā projekta 2.1. un 2.4.-2.6. apakšpunktos minēts. Attiecīgi lūdzam precizēt vai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noteikumu Nr. 16 anotācijas 5. sadaļā attiecībā uz 8. panta 1. punkta pārņemšanu ir norāde uz likumu "Par piesārņojumu", kāda nav ietverta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lūdzam precizēt informāciju par direktīvas 8. panta 7. punkta pārņemšanu, kā arī sniegt skaidrojumu par normas pilnīgu pārņemšanu, ņemot vērā, ka projekta 34. punktā ir runa par situāciju, kad rīcības plāns ir jau apstiprināts, turklāt 34. punkts norādīts gan pie direktīvas 8. panta 7. punkta, gan 9. panta 1. punkta, kas nešķiet korekti, ņemot vērā, ka pārņemamās normas ir dažādas;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attiecībā uz direktīvas 9. panta 1. un 2. punkta pārņemšanu norādām, ka projekta 34. punktā ir runa tikai par rīcības plānu, savukārt direktīvas normā ir runa arī par stratēģiskajām trokšņu kartēm;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aicinām anotācijas 5. sadaļas 1.tabulā lietot korektus Direktīvas 2002/49/EK vienību nosaukumus (piemēram, nevis 3. panta "a" apakšpunkts, bet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un precizēt tabulu vai sniegt skaidrojumus. Nepieciešamības gadījumā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pēc iespējas precīzāku informāciju par Eiropas Savienības normu pārņemšanu, lūdzam anotācijas 5. sadaļas 1. tabulā atsevišķi izdalīt direktīvu pārņemamo vienību attiecīgās apakšvienības, ja tādas ir, un attiecīgi projekta vienību vai apakšvienību, kas pārņem direktīvas normu. Piemēram, Komisijas 2020. gada 4. marta Direktīvas (ES) 2020/367, ar ko Eiropas Parlamenta un Padomes Direktīvas 2002/49/EK III pielikumu groza attiecībā uz vides trokšņa kaitīgo seku vērtēšanas metožu noteikšanu, pielikumam, ir apakšvienības, kā arī Direktīvas 2002/49/EK VI pielikuma 1. un 2. punktam ir apakšvienības. Attiecīgi lūdzam precizēt tabulā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projekta anotācijas 5.4. sadaļas 1. tabulā ietvertā informācija par ES tiesību akta pārņemšanu vai ieviešanu būtu loģiski izklāstīta un vieglāk uztverama, lūdzam datus tabulā norādīt secīgi (sākot no 1. panta normām), nevis jauktā secībā.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Sazinoties ar Valsts kanceleju tika secināts, ka rindošana bez secības ir TAP portāla tehniska problēma, kas tiks risināta nākotnē. Līdz ar to šobrīd  ministrijai nav iespēju ietekmēt izkārtojumu.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2020. gada 1. oktobra Valsts sekretāru sanāksmē lemto (prot. Nr. 39, 31. §), lai nodrošinātu Latvijas Republikas rīcības saskaņotību, turpmāk Eiropas Komisijai tiks iesniegti tiesību akta projekta sākotnējās ietekmes novērtējuma ziņojumi (anotācijas), kur atspoguļota attiecīgā Eiropas Savienības tiesību akta ieviešana nacionālajā normatīvajā aktā. Lai nodrošinātu iespējami precīzas informācijas iesniegšanu Eiropas Komisijai, lūdzam precizēt anotācijas 5.4. sadaļas 1. tabulu attiecībā uz minēto ES tiesību aktu pārņemšanu, jo šobrīd projekta anotācijas 5.4. sadaļā ietvertā informācija ir neprecīza.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Reizē lūdzot izvērtēt visu tabulu, vēršam uzmanību uz vairākiem piemēriem: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Direktīvas 2002/49/EK pārņemšanu tabulā norādīts, ka direktīvas 1. panta 1. punkta a) un c) apakšpunkts ir pārņemts noteikumu projekta 1.1. apakšpunktā (sk. arī par 1. panta 1. punkta b) apakšpunkta pārņemšanu). Vēršam uzmanību, ka noteikumu projekta 1.1. apakšpunkts tikai noteic, ko nosaka noteikumi, nevis konkrēti pārņem kādas direktīvas normas prasības. Attiecīgi lūdzam norādīt atbilstošo noteikumu projekta vienību, kas pārņem direktīvas normas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Daudzviet 1. tabulā ir acīmredzami nepareiza, neprecīza vai nepilnīga informācija attiecībā uz noteikumu projekta vienību vai vienībām, kurās pārņemtas attiecīgā ES tiesību akta normā paredzētās prasības. Attiecīgi lūdzam precizēt tabulu, norādot korektas un precīzas vienības. Piemēram, informāciju par Direktīvas 2002/49/EK 7. panta 4. punkta, kā arī 5. punkta pārņemšanu, kur norādītas nepareizas atbilstošās noteikumu projekta vienības). Savukārt norāde uz visu direktīvas I pielikumu kopumā, kā arī uz visu noteikuma projekta 1. pielikumu kopumā nav korekta. Vēršam uzmanību, ka direktīvas I pielikumā ir vairāki punkti (tāpat kā noteikumu projekta 1. pielikumā). Piemēram, direktīvas I pielikuma 3. punkts par papildu trokšņa indikatoriem, šķiet, 1. pielikumā pārņemts netiek. Savukārt direktīvas I pielikumā, šķiet, nav iekļauta tāda norma, kuru ieviestu noteikumu projekta 1. pielikuma 5. punkts, kas noteic konkrētas trokšņa stratēģisko karšu un rīcības plānu izstrādē izmantojamās pieļaujamās trokšņa rādītāju vērtības (robežlielumus). Līdz ar to šī norma, šķiet, neizriet no direktīvas I pielikuma, un nepieciešams izvērtēt un attiecīgi norādīt tabulā attiecīgu direktīvas normu, kas tiek ieviesta ar noteikumu projekta 1. pielikuma 5. punktu (piemēram, 3. panta s)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pārliecināties, ka tabulā ir atspoguļotas visas ES tiesību aktu normas, kas ir pārņemtas ar noteikumu projektu (piemēram, tabulā nav norādīta informācija par Direktīvas 2002/49/EK 4. panta 1. punkta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Vēršam uzmanību, ka norāde par Direktīvas 2002/49/EK II pielikuma pārņemšanu noteikumu projekta 5. punktā nav korekta, jo ar 5. punktu šis pielikums netiek pārņemts (sk. arī citviet tabulā norādīto informāciju par noteikumu projekta 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Komisijas 2015. gada 19. maija Direktīvas (ES) 2015/996 ar ko nosaka kopīgas trokšņa novērtēšanas metodes saskaņā ar Eiropas Parlamenta un Padomes Direktīvu 2002/49/EK 1. panta pārņemšanu norādām, ka pārņemts tiek ne gluži pats 1. pants, bet gan direktīvas pielikums, jo tieši tajā ir iekļautas prasības, kas dalībvalstij jāpārņem (tas pats attiecināms arī uz Komisijas 2020. gada 4. marta Direktīvas (ES) 2020/367, ar ko Eiropas Parlamenta un Padomes Direktīvas 2002/49/EK III pielikumu groza attiecībā uz vides trokšņa kaitīgo seku vērtēšanas metožu noteikšanu pārņemšanas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Vēršam uzmanību, ka Regulas 2019/1010 2. pantā ir punkti, nevis apakšpunkti.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w:t>
            </w:r>
            <w:r w:rsidR="00000000" w:rsidRPr="00000000" w:rsidDel="00000000">
              <w:rPr>
                <w:rtl w:val="0"/>
              </w:rPr>
              <w:t xml:space="preserve">"Par piesārņojumu"</w:t>
            </w:r>
            <w:r w:rsidR="00000000" w:rsidRPr="00000000" w:rsidDel="00000000">
              <w:rPr>
                <w:rtl w:val="0"/>
              </w:rPr>
              <w:t xml:space="preserve"> 18.</w:t>
            </w:r>
            <w:r w:rsidR="00000000" w:rsidRPr="00000000" w:rsidDel="00000000">
              <w:rPr>
                <w:vertAlign w:val="superscript"/>
                <w:rtl w:val="0"/>
              </w:rPr>
              <w:t xml:space="preserve">1</w:t>
            </w:r>
            <w:r w:rsidR="00000000" w:rsidRPr="00000000" w:rsidDel="00000000">
              <w:rPr>
                <w:rtl w:val="0"/>
              </w:rPr>
              <w:t xml:space="preserve"> panta trešo daļas 1.-5. 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pilnvarojuma norādi (proti, nevis "trešo daļas 1.-5. punktiem", bet gan "trešās daļas 1.-5.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w:t>
            </w:r>
            <w:r w:rsidR="00000000" w:rsidRPr="00000000" w:rsidDel="00000000">
              <w:rPr>
                <w:rtl w:val="0"/>
              </w:rPr>
              <w:t xml:space="preserve">"Par piesārņojumu"</w:t>
            </w:r>
            <w:r w:rsidR="00000000" w:rsidRPr="00000000" w:rsidDel="00000000">
              <w:rPr>
                <w:rtl w:val="0"/>
              </w:rPr>
              <w:t xml:space="preserve"> 18.</w:t>
            </w:r>
            <w:r w:rsidR="00000000" w:rsidRPr="00000000" w:rsidDel="00000000">
              <w:rPr>
                <w:vertAlign w:val="superscript"/>
                <w:rtl w:val="0"/>
              </w:rPr>
              <w:t xml:space="preserve">1</w:t>
            </w:r>
            <w:r w:rsidR="00000000" w:rsidRPr="00000000" w:rsidDel="00000000">
              <w:rPr>
                <w:rtl w:val="0"/>
              </w:rPr>
              <w:t xml:space="preserve"> panta trešo daļas 1.-5.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saskaņā ar MK noteikumu Nr. 108 100. punktam noformulēt noteikumu projekta 1. punktu pēc iespējas precīzāk atbilstoši likumā noteiktajam pilnvarojumam Ministru kabinetam (proti, ievērojot pēc iespējas tādu pašu formulējumu un secību), kā arī noteikumu projekta uztveramībai aicinām ievērot šo pašu secību noteikumu projekta satura izkārtojumā.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trokšņu rādītājus un to novērtēšanas metodes trokšņa stratēģisko karšu un rīcības plānu izstrādei;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“trokšņu rādītājus” aizvietot ar “trokšņu indikatorus”.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Eiropas Parlamenta un Padomes Direktīvas 2002/49/EK (2002. gada 25. jūnijs) par vides trokšņa novērtēšanu un pārvaldību (turpmāk tekstā – Direktīva)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Termina “trokšņa rādītājs” harmonizēšana ar Direktīvas terminoloģiju nepieciešama, jo Latvijas likums nav prioritārs un ar lielāku juridisko spēku par Eiropas Savienības Direktīvu. Termina “trokšņa rādītājs” izcelsme ir likums “Par piesārņojumu” (1.panta 14) punkts), kurā terminam “trokšņu rādītājs” piedēvēta Direktīvā noteiktā termina “trokšņa indikators” definīcija (“trokšņa indikators” nozīmē fizikālu lielumu, ar ko raksturo to troksni vidē, kam ir saistība ar kaitīgām sekām (Direktīvas 3.panta d) apakšpunkts)). Jāņem vērā, ka nestandarta termins “trokšņa indikators” Eiropas Savienībā ir speciāli radīts kā trokšņa ar kaitīgām sekām līmeņa mērs, lai noteiktu kopējas vērtēšanas metodes attiecībā uz vides troksni un trokšņa robežvērtību definīciju, ņemot vērā saskaņotus indikatorus trokšņa līmeņa noteikšanai Lden un Lnight, vai papildus arī Lday un Levening. Piedēvējot terminam “trokšņa rādītājs” (trokšņa raksturotājs, Noise Descriptor) specifiskas, tikai trokšņa kartēšanai paredzētas īpašības – raksturot to troksni, kas rada kaitīgas sekas, tiek radīts tehniski-tiesisks paradokss gadījumā, ja “trokšņa rādītājs” ir mazāks par pieļaujamo robežvērtību un nerada kaitīgas sekas. Tādā gadījumā trokšņa rādītājs (trokšņa raksturotājs, Noise Descriptor) nav uzskatāms par fizikālu lielumu ar mērvienību, šajā gadījumā, decibelu [dB], bet neko neizsakošs skaitlis.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"trokšņa rādītājs" likumā "Par piesārņojumu" ir definēts kā " fizikāls lielums, ar kuru raksturo troksni, kas var radīt kaitīgas sekas" un tas precīzi pārņem nacionālā likumdošanā Direktīvas 2002/49/EK 3.panta d) apakšpunktu "fizikāls lielums, ar ko raksturo to troksni vidē, kam ir saistība ar kaitīgām sekām", un Direktīvas 2002/49/EK I pielikumā ir uzskaitīti trokšņa indikatori kā trokšņa rādītāji (Lden, Lnakts). Direktīvas 2002/49/EK pamattekstā tiek lietots termins gan "trokšņa indikators" kā vispārīgs vides trokšņa apzīmējums, gan termins "trokšņa rādītājs (dienas, vakara u.c.) kā noteikts trokšņa indikatora raksturlielums, kuru vērtības nosaka ar noteiktām vērtēšanas metodēm trokšņa stratēģiskā kartēšanā. Atbilstoši normatīvo aktu izstrādes juridiskajai tehnikai, lai nodrošinātu precīzu un viennozīmīgi saprotamu tiesību normu attiecībā uz trokšņa stratēģisko kartēšanu, visā noteikumu projektā tiek izmantots termins "trokšņa rādītājs."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kārtību, kādā nodrošina ar vides troksni saistītās informācijas sniegšanu sabiedrībai un Eiropas Savienības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akustiskā plānošana - paredzamā trokšņa kontrolēšana, izmantojot plānotus pasākumus, piemēram, teritorijas plānošanu, satiksmes sistēmu projektēšanu, satiksmes plānošanu, kā arī trokšņa samazināšana, veicot skaņas izolācijas pasākumus un kontrolējot troksni tā rašanās avotā;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“akustiskā plānošana” aizvietot ar “prettrokšņa plānošana”.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Direktīvas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Terminam “akustiskā plānošana” piedēvēta Direktīvā noteiktā termina “prettrokšņa plānošana” definīcija visā tās pilnībā.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prettrokšņa plānošana - paredzamā vides trokšņa kontrolēšana, izmantojot plānotus pasākumus, piemēram, teritorijas plānošanu, satiksmes plānošanu, kā arī vides trokšņa samazināšana, veicot skaņas izolācijas pasākumus un kontrolējot troksni tā rašanās avotā;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kaitīgās sekas - vides trokšņa radītā negatīvā ietekme uz cilvēka veselību;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“kaitīgās sekas” aizvietot ar “kaitīgas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Direktīvas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Terminam “kaitīgās sekas” piedēvēta Direktīvā noteiktā termina “kaitīgas sekas” definīcija visā tās pilnībā.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kaitīgas sekas - vides trokšņa radītā negatīvā ietekme uz cilvēka veselību;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klusais rajons aglomerācijā - attiecīgās pašvaldības noteikta teritorija, kur trokšņa rādītāja vērtība ir mazāka par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5. punktā attiecīgajai apbūves teritorijai noteikto trokšņa rādītāja vērtību;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un 2.10., 2.11., 2.12., 2.16., 5., 9.4., 11.1., 11.2., 11.3., 14.4., 15.2., 15.4., 25.4., 25.8. un 25.9. klusais rajons aglomerācijā – attiecīgās pašvaldības noteikta teritorija, kur trokšņa rādītāja vērtība ir mazāka par šo noteikumu 1.pielikuma 5.punktā attiecīgajai apbūves teritorijai noteikto trokšņa rādītāja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šīs Izziņas turpmākajā tekstā terminus “trokšņu rādītājs” visos locījumos aizvietot ar terminu “trokšņu indikators” saskanīgā locījumā (16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Direktīvas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klusais rajons aglomerācijā - attiecīgās aglomerācijas pašvaldības noteikta teritorija, kur trokšņa indikatoru vērtība ir mazāka par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4.punktā noteiktajiem vides trokšņa robežlielumiem (turpmāk - klusā teritorija);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trokšņa robežlielums - pieļaujamā trokšņa rādītāja vērtība, kuru pārsniedzot attiecīgā institūcija izskata iespēju veikt vai veic pasākumus, kas samazina trokšņa rādītāja vērtību;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un 9.2., 11.2., 14.3., 15.1., 16.1.4., 16.2.3. trokšņa robežlielums – pieļaujamā trokšņa rādītāja vērtība, kuru pārsniedzot attiecīgā institūcija izskata iespēju veikt vai veic pasākumus, kas samazina trokšņa rādītāja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šīs Izziņas turpmākajā tekstā terminus “trokšņa robežlielums” visos locījumos aizvietot ar “trokšņa robežvērtība” saskanīgā locījumā (7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Direktīvas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piesārņojumu" 13.pantu vides kvalitātes normatīvus iedala robežlielumos un mērķlielumos. Lai piesārņojuma regulējumā nodrošinātu vienotu terminoloģiju noteikumu projektā ietverts termins "robežlielums" un tā jēga atbilst Direktīvas 2002/49/EK termina "robežvērtība" definīcijai. Līdz ar to secināms, ka 2004. gadā, pārņemot Direktīvu 2002/49/EK nacionālā likumdošanā,  ir nodrošināta termina "robežvērtība" pārņemšana  pēc būtības, kā arī līdz šim termins "robežlielums" ir piemērots atbilstoši Direktīvā 2002/49/EK noteiktajam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 vides trokšņa robežlielums - vides trokšņa indikatora vērtība, kuru pārsniedzot attiecīgā institūcija veic pasākumus vides trokšņa indikatora vērtības samazināšanai;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trokšņa un iedarbības sakarība - sakarība starp trokšņa rādītāja vērtību un trokšņa radītajām kaitīgajām sekām;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kopu: “trokšņa un iedarbības sakarība” izteikt kā “trokšņa devas (enerģijas) un iedarbības sakarība”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Direktīvas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Direktīvā 2002/49/EK termina "devas-iedarbības attiecība" definēta kā "attiecība starp trokšņa indikatora vērtību un kaitīgu izpausmi", bet nav izmantots termins "trokšņa deva (enerģija)". Secināms, ka  2004. gadā, pārņemot Direktīvu 2002/49/EK nacionālā likumdošanā ir nodrošināta termina "devas-iedarbības attiecība" pārņemšana  pēc būtības, kā arī līdz šim termins "trokšņa un iedarbības sakarība" ir piemērots atbilstoši Direktīvā 2002/49/EK noteiktajam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vides trokšņa un iedarbības sakarība - sakarība starp vides trokšņa indikatora vērtību un vides trokšņa radītajām kaitīgām sekām;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novērtējums - vides trokšņa indikatora vērtības vai ar vides troksni saistīto kaitīgo seku mērīšana, aprēķināšana un prognozēšana;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pilnveidot projekta 2.16. apakšpunktā definēto terminu un tā skaidrojumu. Proti, pats termins "novērtējums" norāda uz jau pabeigtu rezultātu, savukārt termina skaidrojums norāda uz procesu (sal. sk. noteikumu Nr. 16 4.9.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normatīvā akta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novērtēšana - vides trokšņa indikatora vērtības vai ar vides troksni saistīto kaitīgo seku mērīšana, aprēķināšana un prognozēšana;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Trokšņa stratēģisko karšu un rīcības plānu izstrādē izmanto šādus trokšņa rādītājus, kurus nosaka saskaņā ar šo noteikumu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  un novērtē saskaņā ar Komisijas 2015. gada 19. maija Direktīvā (ES) 2015/996 un Komisijas 2020. gada 21. decembra Deleģētajā direktīvā (ES) 2021/1226 noteiktajām kopīgām trokšņa novērtēšanas metodēm: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normatīvā akta projekta 5.punktu trokšņa rādītājus nosaka atbilstoši  Eiropas Komisijas 2015. gada 19. maija Direktīvā (ES) 2015/996 (turpmāk – Direktīva)  un Eiropas Komisijas 2020. gada 21. decembra Deleģētajā direktīvā (ES) 2021/1226 (turpmāk – Deleģētā direktīva) noteiktajām kopīgām trokšņa novērtēšanas metodēm.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pielikums “Trokšņa indikatoru vērtēšanas metodes” (819 lpp.) aizstāj Eiropas Parlamenta un Padomes 2002. gada 25. jūnija Direktīvas 2002/49/EK II pielikuma “Trokšņa indikatoru vērtēšanas metodes” tekstu.  Savukārt Deleģētā direktīva groza Eiropas Parlamenta un Padomes 2002. gada 25. jūnija Direktīvas 2002/49/EK II pielikumu saskaņā ar tās pielikumu (78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apjoms ievērojami apgrūtina uztveramību, tādējādi, ierosinām iestrādāt no minētajām direktīvām izrietošās tiesību normās Ministru kabineta noteikumu projektā, tādējādi efektivizējot praktisko pielietošanu.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pārņemta Komisijas 2020. gada 21.decembra Deleģētā direktīva (ES) 2021/1226, ar ko, pielāgojoties zinātnes un tehnikas attīstībai, Eiropas Parlamenta un Padomes Direktīvas 2002/49/EK II pielikumu groza attiecībā uz kopīgām trokšņa novērtēšanas metodēm.  Bet, ņemot vērā, ka Ministru kabineta 2014.gada 7.janvāra noteikumi Nr.16 "Trokšņa novērtēšanas un pārvaldības kārtība", ar kuriem nacionālā likumdošanā tika pārņemtas kopīgās trokšņa novērtēšanas metodes (Komisijas 2015. gada 19. maija Direktīva (ES) 2015/996, ar ko nosaka kopīgas trokšņa novērtēšanas metodes saskaņā ar Eiropas Parlamenta un Padomes Direktīvu 2002/49/EK) zaudēs spēku, noteikumu projektā ir iekļauta atbilstoša atsauce.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2002/49/EK II pielikums par kopīgām trokšņa novērtēšanas metodēm uz vairāk nekā 800 lappusēm ietver tehniska rakstura trokšņa kartēšanas programmatūras aprakstu, t.i., aprēķinu formulas un vienādojumus, shematiskus attēlus, aprēķinos izmantojamo koeficientu tabulas u.tml. Ar atsauci noteikumu projektā pārņemtie deleģētie akti par kopīgām trokšņa novērtēšanas metodēm un par tehniskiem grozījumiem šo metožu aprakstā ir pilnā apjomā publicēti ES Oficiālajā Vēstnesi latviešu valodā, kā arī ES Oficiālajā Vēstnesī ir pieejama Direktīvas 2002/49/EK konsolidētā versija latviešu valodā - tātad aktuāls kopīgo trokšņa novērtēšanas metožu apraksts ar ērti izsekojamiem grozījumiem. Ar atsauci pārņemto ES tiesību aktu normas ir ietvertas noteikumu projekta 2. un 3.pielikumos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L</w:t>
            </w:r>
            <w:r w:rsidR="00000000" w:rsidRPr="00000000" w:rsidDel="00000000">
              <w:rPr>
                <w:vertAlign w:val="subscript"/>
                <w:rtl w:val="0"/>
              </w:rPr>
              <w:t xml:space="preserve">diena</w:t>
            </w:r>
            <w:r w:rsidR="00000000" w:rsidRPr="00000000" w:rsidDel="00000000">
              <w:rPr>
                <w:rtl w:val="0"/>
              </w:rPr>
              <w:t xml:space="preserve"> – dienas trokšņa rādītājs, kas raksturo vides trokšņa dienā radušos diskomfortu;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Punktu izteikt šādi: 5.1. Ldiena – A-izsvarotais kompleksais diennakts vērtēšanas līmenis, kas definēts standartā LVS ISO 1996-1:2017 un kas noteikts, ņemot vērā visas dienas – diennakts daļas – viena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Direktīvas terminoloģiju, ievērojot novecojuša un spēku zaudējuša ISO standarta (ISO 1996-2:1987) aizvietošanu ar jaunu spēkā esošu standartu.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2016. gada 21.septembra Ministru kabineta rīkojuma Nr. 534 "Par konceptuālo ziņojumu "Par Latvijas nacionālās standartizācijas sistēmas pilnveidošanu"" 3. punktā noteikto, ka, izstrādājot normatīvos aktus vai izdarot grozījumus spēkā esošajos normatīvajos aktos, kuros izmantotas tiešās atsauces uz standartiem (obligāti piemērojamie standarti), jāizvērtē iespējas aizstāt tās ar netiešajām atsaucēm (piemērojamie standarti), noteikuma projektā nav iekļautas tiešas atsauces uz standartiem. Atbilstoši noteikumu projekta 7.punktā norādītajam saistībā ar šiem noteikumiem tiks sagatavots un nacionālās standartizācijas institūcijas tīmekļvietnē tiks publicēts  piemērojamo Latvijas nacionālo standartu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precīzi pārņemts Direktīvas 2002/49/EK pamattekstā ietveratis termins  Ldiena, kas skaidrots Direktīvas 2002/49/EK 1.pielikumā. Atbilstoši normatīvo aktu projektu izstrādes pamatprincipiem termina Ldiena definīcija ir ietverta noteikumu pamattekstā, bet paskaidrojošā informācija par terminu Ldiena ir ietverta noteikumu projekta 1.pielikumā.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w:t>
            </w:r>
            <w:r w:rsidR="00000000" w:rsidRPr="00000000" w:rsidDel="00000000">
              <w:rPr>
                <w:vertAlign w:val="subscript"/>
                <w:rtl w:val="0"/>
              </w:rPr>
              <w:t xml:space="preserve">den</w:t>
            </w:r>
            <w:r w:rsidR="00000000" w:rsidRPr="00000000" w:rsidDel="00000000">
              <w:rPr>
                <w:rtl w:val="0"/>
              </w:rPr>
              <w:t xml:space="preserve"> – diennakts trokšņa rādītājs, kas raksturo vides trokšņa radīto kopējo diskomfortu;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Punktu izteikt šādi: 5.2. Lden – A-izsvarotais kompleksais diennakts vērtēšanas līmenis, kas definēts standartā LVS ISO 1996-1:2017 un kas noteikts, ņemot vērā visas diennaktis viena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Direktīvas terminoloģiju, ievērojot novecojuša un spēku zaudējuša ISO standarta (ISO 1996-2:1987) aizvietošanu ar attiecīgu jaunu spēkā esošu standartu.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2016. gada 21.septembra Ministru kabineta rīkojuma Nr. 534 "Par konceptuālo ziņojumu "Par Latvijas nacionālās standartizācijas sistēmas pilnveidošanu"" 3. punktā noteikto, ka, izstrādājot normatīvos aktus vai izdarot grozījumus spēkā esošajos normatīvajos aktos, kuros izmantotas tiešās atsauces uz standartiem (obligāti piemērojamie standarti), jāizvērtē iespējas aizstāt tās ar netiešajām atsaucēm (piemērojamie standarti), noteikuma projektā nav iekļautas tiešas atsauces uz standartiem. Atbilstoši noteikumu projekta 7.punktā norādītajam saistībā ar šiem noteikumiem tiks sagatavots un nacionālās standartizācijas institūcijas tīmekļvietnē tiks publicēts  piemērojamo Latvijas nacionālo standartu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precīzi pārņemts Direktīvas 2002/49/EK pamattekstā ietvertais termins  Lden, kas skaidrots Direktīvas 2002/49/EK 1.pielikumā. Atbilstoši normatīvo aktu projektu izstrādes pamatprincipiem termina Lden definīcija ir ietverta noteikumu projekta pamattekstā, bet paskaidrojošā informācija par terminu Lden ir ietverta noteikumu projekta 1.pielikumā.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L</w:t>
            </w:r>
            <w:r w:rsidR="00000000" w:rsidRPr="00000000" w:rsidDel="00000000">
              <w:rPr>
                <w:vertAlign w:val="subscript"/>
                <w:rtl w:val="0"/>
              </w:rPr>
              <w:t xml:space="preserve">nakts</w:t>
            </w:r>
            <w:r w:rsidR="00000000" w:rsidRPr="00000000" w:rsidDel="00000000">
              <w:rPr>
                <w:rtl w:val="0"/>
              </w:rPr>
              <w:t xml:space="preserve"> – nakts trokšņa rādītājs, kas raksturo vides trokšņa naktī radušos diskomfortu, tai skaitā miega traucējumus;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Punktu izteikt šādi: 5.3. Lnakts – A-izsvarotais kompleksais diennakts vērtēšanas līmenis, kas definēts standartā LVS ISO 1996-1:2017 un kas noteikts, ņemot vērā visas naktis – diennakts daļas – viena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Direktīvas terminoloģiju, ievērojot novecojuša un spēku zaudējuša ISO standarta (ISO 1996-2:1987) aizvietošanu ar attiecīgu jaunu spēkā esošu standartu.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2016. gada 21.septembra Ministru kabineta rīkojuma Nr. 534 "Par konceptuālo ziņojumu "Par Latvijas nacionālās standartizācijas sistēmas pilnveidošanu"" 3. punktā noteikto, ka, izstrādājot normatīvos aktus vai izdarot grozījumus spēkā esošajos normatīvajos aktos, kuros izmantotas tiešās atsauces uz standartiem (obligāti piemērojamie standarti), jāizvērtē iespējas aizstāt tās ar netiešajām atsaucēm (piemērojamie standarti), noteikuma projektā nav iekļautas tiešas atsauces uz standartiem. Atbilstoši noteikumu projekta 7.punktā norādītajam saistībā ar šiem noteikumiem tiks sagatavots un nacionālās standartizācijas institūcijas tīmekļvietnē tiks publicēts  piemērojamo Latvijas nacionālo standartu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precīzi pārņemts Direktīvas 2002/49/EK pamattekstā ietveratis termins  Lnakts, kas skaidrots Direktīvas 2002/49/EK 1.pielikumā. Atbilstoši normatīvo aktu projektu izstrādes pamatprincipiem termina Lnakts definīcija ir ietverta noteikumu projekta 5.2. apakšpunktā, bet paskaidrojošā informācija par terminu Lnakts ir ietverta noteikumu projekta 1.pielikumā.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L</w:t>
            </w:r>
            <w:r w:rsidR="00000000" w:rsidRPr="00000000" w:rsidDel="00000000">
              <w:rPr>
                <w:vertAlign w:val="subscript"/>
                <w:rtl w:val="0"/>
              </w:rPr>
              <w:t xml:space="preserve">vakars</w:t>
            </w:r>
            <w:r w:rsidR="00000000" w:rsidRPr="00000000" w:rsidDel="00000000">
              <w:rPr>
                <w:rtl w:val="0"/>
              </w:rPr>
              <w:t xml:space="preserve"> – vakara trokšņa rādītājs, kas raksturo vides trokšņa vakarā radušos diskomfortu.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Punktu izteikt šādi: 5.4. Lvakars – A-izsvarotais kompleksais diennakts vērtēšanas līmenis, kas definēts standartā LVS ISO 1996-1:2017 un kas noteikts, ņemot vērā visus vakarus – diennakts daļas – viena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Termina harmonizēšana ar Direktīvas terminoloģiju, ievērojot novecojuša un spēku zaudējuša ISO standarta (ISO 1996-2:1987) aizvietošanu ar attiecīgu jaunu spēkā esošu standartu.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2016. gada 21.septembra Ministru kabineta rīkojuma Nr. 534 "Par konceptuālo ziņojumu "Par Latvijas nacionālās standartizācijas sistēmas pilnveidošanu"" 3. punktā noteikto, ka, izstrādājot normatīvos aktus vai izdarot grozījumus spēkā esošajos normatīvajos aktos, kuros izmantotas tiešās atsauces uz standartiem (obligāti piemērojamie standarti), jāizvērtē iespējas aizstāt tās ar netiešajām atsaucēm (piemērojamie standarti), noteikuma projektā nav iekļautas tiešas atsauces uz standartiem. Atbilstoši noteikumu projekta 7.punktā norādītajam saistībā ar šiem noteikumiem tiks sagatavots un nacionālās standartizācijas institūcijas tīmekļvietnē tiks publicēts  piemērojamo Latvijas nacionālo standartu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precīzi pārņemts Direktīvas 2002/49/EK pamattekstā ietvertais termins  Lvakars, kas skaidrots Direktīvas 2002/49/EK 1.pielikumā. Atbilstoši normatīvo aktu projektu izstrādes pamatprincipiem termina Lvakars definīcija ir ietverta noteikumu projekta pamattekstā, bet paskaidrojošā informācija par terminu Lvakars ir ietverta noteikumu projekta 1.pielikumā.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Trokšņa stratēģiskās kartes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nodaļu nosaukumi dažviet (sk., piemēram, II un III nodaļas nosaukumu) ir pārāk vispārīgi un neatklāj nodaļā ietverto saturu pietiekami precīzi. Savukārt IV nodaļas nosaukums valodnieciski būtu labāk uztverams, ja to pārveidotu šādi “Kārtība, kādā īstenojama sadarbība ar kaimiņvalstīm vides trokšņa novērtēšanā un samazināšanā”. Aicinām izvērtēt un precizēt nodaļu nosaukumus, kā arī apsvērt iespēju izkārtot nodaļas atbilstoši noteikumu projekta 1. punktā izklāstītajai noteikumu satura secībai, lai noteikumu projekta saturu padarītu vieglāk uztveramu.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Vides trokšņa stratēģisko karšu izstrāde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Vides trokšņa kartēšanā izmanto vides trokšņa indikatorus Lden un Lnight, kurus nosaka saskaņā ar šo noteikumu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nav ietverta norma, kas atbilstu noteikumu Nr. 16 11. punktam. Lūdzam izvērtēt un precizēt projektu vai sniegt anotācijā skaidrojumu, kādēļ norma nav paredzēta.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normatīvā akta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Vides trokšņa stratēģisko karšu izstrādē izmanto vides trokšņa indikatorus Lden un Lnight, kurus nosaka saskaņā ar šo noteikumu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60 dB(A), 65 dB(A), 70 dB(A)un 75 dB(A) trokšņa kontūras;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Vārdus “trokšņa kontūras” aizvietot ar “trokšņa līmeņu kontūras”.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Redakcijas precizēšana.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ietverts 2004.gadā nacionālā likumdošanā precīzi pārņemtais Direktīvā 2002/49/EK izmantotais termins "trokšņu kontūras". Direktīvā 2002/49/EK nav izmantots termins "trokšņa līmeņa kontūras".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60 dB(A), 65 dB(A), 70 dB(A)un 75 dB(A) trokšņa kontūras;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trokšņa avotus - ceļu satiksmi, dzelzceļa un tramvaju satiksmi, gaisa satiksmi, rūpnieciskās darbības zonas, ostas,  kā arī šo trokšņa avotu radīto vides troksni, kas izteikts ar trokšņa rādītāju vērtībām. Katra trokšņa avota veida radīto troksni atspoguļo arī atsevišķā kartē;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Vārdus “trokšņa rādītāju vērtībām” aizvietot ar “trokšņa līmeņu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Trokšņa stratēģiskās kartes “zīmē”, attēlojot trokšņa A-izsvarotos kompleksos diennakts vērtēšanas līmeņus, kas definēti standartā LVS ISO 1996-1:2017. Šie līmeņi, pēc tam, kad attiecināti uz konkrētu diennakts laiku un vidināti visa gada garumā, tiek uzskatīti par trokšņa indikatoriem konkrētam diennakts laikam.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ietvertas kopš 2004.gada nacionālā likumdošanā pārņemtās Direktīvas 2002/49/EK IV pielikumā noteiktās minimālās prasības stratēģiskai trokšņa kartēšanai, tai skaitā, prasība iekļaut stratēģiskā trokšņa kartē datus par vides troksni, un precizēta terminoloģija (termins "trokšņa rādītājs" aizstāts ar terminu "trokšņa indikators").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trokšņa avotus - ceļu satiksmi, dzelzceļa un tramvaju satiksmi, gaisa satiksmi, rūpnieciskās darbības zonas, ostas,  kā arī šo trokšņa avotu radīto vides troksni, kas izteikts ar vides trokšņa indikatoru vērtībām. Katra trokšņa avota veida radīto vides troksni atspoguļo arī atsevišķā kartē;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Aglomerācijas pašvaldība apstiprina aglomerācijas trokšņa stratēģisko karti atbilstoši normatīvajos aktos noteiktajā kārtībā, kādā apstiprina pašvaldības teritorijas attīstības programmu un teritorijas plānojumu.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Dublējas 18. un 29.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Ievērot, ka saskaņā ar Teritorijas attīstības plānošanas likumu attīstības programmu un teritorijas plānojumu apstiprināšanas kārtība ir atšķirīga (nosaka attiecīgi 22.panta trešā daļa un 25.pants).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lietot terminu “attīstības programma” atbilstoši normatīvajos aktos lietotajai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Priekšlikumu precizēt 18.punktu un 29.punktu, nosakot kārtību, kādā apstiprina aglomerācijas trokšņa stratēģisko karti un rīcības plānu. Pašreizējā redakcijā paredzēts minētos dokumentus apstiprināt normatīvajos aktos noteiktajā kārtībā, kādā apstiprina pašvaldības teritorijas attīstības programmu un teritorijas plānojumu, kam ir būtiski atšķirīga apstiprināšanas, spēkā stāšanās un pārsūdzēšanas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Aglomerācijas pašvaldība ar attiecīgās pašvaldības domes lēmumu apstiprina ar Centru saskaņoto aglomerācijas vides trokšņa stratēģisko karti.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Vides trokšņa stratēģisko karšu izstrāde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projekta III. nodaļā ietverto normu izvietojuma secību un to pilnveidot, ietverot loģisku un secīgu regulējumu (salīdzinājumam lūdzam sk. noteikumu Nr. 16 III. nodaļu, īpaši projekta 11. punkta un noteikumu Nr. 16 24. punkta novietojumu).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Vides trokšņa stratēģisko karšu izstrāde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Transporta infrastruktūras objekta pārvaldītājs sadarbojas ar trokšņa ietekmēto pašvaldību, izstrādājot rīcības plānu galvenajiem autoceļiem, galvenajām dzelzceļa līnijām vai galvenajai lidostai. Transporta infrastruktūras objekta pārvaldītājs organizē tikšanos ar trokšņa ietekmēto pašvaldību par pašvaldību iesniegtajiem priekšlikumiem.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24.punktu paredzot, ka izstrādājot rīcības plānu ir nepieciešams pieprasīt nosacījumus no trokšņa ietekmētās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Aglomerācijas pašvaldība apstiprina ar centru saskaņoto rīcības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projektā paredzētie pienākumi tiktu nepārprotami izpildīti, aicinām apsvērt iespēju noteikumu projektā attiecīgajās vietās (piemēram, 31. un 32. punktā, kā arī, ja nepieciešams, citviet) noteikt konkrētus termiņus (un attiecīgi atskaites punktus) uzdevumu izpildei (piemēram, kādā termiņā apstiprina rīcības plānu).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Aglomerācijas pašvaldība un transporta infrastruktūras objekta pārvaldītājs rīcības plānu pārskata un, ja nepieciešams (ja notiek izmaiņas, kas ietekmē esošo stāvokli attiecībā uz troksni), pārstrādā ne retāk kā reizi piecos gados. Pārstrādāto rīcības plānu iesniedz Centrā.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32. punkta formulējumu salāgot ar Direktīvas 2002/49/EK 8. panta 5. punkta formulējumu. Vēršam uzmanību, ka frāze “ja nepieciešams” būtībā ir lieka, jo to paskaidro iekavās ietvertā teikuma daļa, kā arī no normas formulējuma nav nepārprotami skaidrs, ka rīcības plānu pārskata un pārstrādā ne retāk kā reizi piecos gados pēc plāna apstiprināšanas.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papildināts noteikumu projekts 8., 24., 45., 46.punkti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Transporta infrastruktūras objekta valsts kapitāldaļu turētājs apstiprina ar Centru saskaņoto transporta infrastruktūras objekta vides trokšņa stratēģisko karti.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skaidrot, kādēļ projektā, salīdzinot ar noteikumos Nr. 16 ietverto regulējumu, paredzēta subjektu (terminoloģijas) maiņa (proti, no Satiksmes ministrijas uz transporta infrastruktūras objekta valsts kapitāldaļu turētāju).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pārņemot noteikumu Nr.16 ietvertajā regulējuma subjektu (Satiksmes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Satiksmes ministrija apstiprina ar Centru saskaņoto transporta infrastruktūras objekta vides trokšņa stratēģisko karti.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Transporta infrastruktūras objekta pārvaldītājs sadarbojas ar vides trokšņa ietekmēto pašvaldību un, ievērojot vides trokšņa ietekmētās pašvaldības sniegtos priekšlikumus, izstrādā rīcības plānu galvenajiem autoceļiem, galvenajām dzelzceļa līnijām vai galvenajai lidostai. Rīcības plānu aglomerācijai izstrādā attiecīgā pašvaldība.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projektā nav nepieciešama noteikumu Nr. 16 36. punktam saturiski līdzīga norma. Nepieciešamības gadījumā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cilvēku skaita novērtējumu, uz kuriem iedarbojas vides troksnis, identificētās problēmas un uzlabojamo situāciju apzināšanu. Šajā novērtējumā iekļauj vides trokšņa kaitīgo seku novērtēšanas rezultātus;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projekta 27.6. apakšpunktā iekļauto normu, lūdzam izvērtēt un skaidrot anotācijā, kādēļ projektā vairs nav iekļauts regulējums par kaitīgo seku novērtēšanu, kas ietverts noteikumos Nr. 16 (sk., piemēram, 38. un 39. punktu). Nepieciešamības gadījumā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skaidrojums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 cilvēku skaita novērtējumu, uz kuriem iedarbojas vides troksnis, identificētās problēmas un uzlabojamo situāciju apzināšanu. Šajā novērtējumā iekļauj vides trokšņa kaitīgo seku novērtēšanas rezultātus;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Ceturtās kārtas termiņš trokšņa stratēģisko karšu pārskatīšanai vai pārstrādāšanai ir 2022. gada 30. jūnijs, un turpmāk trokšņa stratēģiskās kartes pārskata vai pārstrādā ik pēc pieciem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specifisko COVID-19 izraisīto situāciju gaisa satiksmē vēršam uzmanību, ka gaisa kuģu lidojumu skaits Starptautiskajā lidostā "Rīga" 2021. gadā nesasniegs 50 000 lidojumus. Satiksmes ministrija jau informēja   Vides aizsardzības un reģionālās attīstības ministriju, ka  Valsts akciju sabiedrība “Starptautiskā lidosta "Rīga"”  trokšņa stratēģisko karti sagatavos nākamajā gadā pēc 50 000 lidojumu skaita pārsniegšanas.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noteikumu projektā noteikt, ka transporta infrastruktūras objekts, kas trokšņa stratēģiskās kartes izstrādes atskaites gadā nesasniedza noteikumu  2.7. apakšpunktā minētos kritērijus, bet iepriekš ir sasniedzis noteikto kritēriju, trokšņa stratēģisko karti izstrādā nākamajā gadā pēc noteikumu projekta 2.7 punktā minēto kritēriju izpildes.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pamatojumu lūdzam norādīt arī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trokšņa stratēģiskās kartes sagatavošana un apstiprināšana noteikumu projekta 43. punktā noteiktajā termiņā ir sarežģīti īstenojama, ņemot vērā nepieciešamību sagatavot datus, veikt modelēšanu, sagatavot trokšņa stratēģisko karti, nodrošināt tās saskaņošanu ar VSIA “Latvijas Vides, ģeoloģijas un meteoroloģijas centrs”, kā arī apstiprināšanu noteikumu projekta noteiktajā kārtībā. Līdz ar to rosinām noteikt termiņu 30.09.2022.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iekļauta likumā "Par piesārņojuma" no 2004.gada noteiktā un spēkā esošā prasība par stratēģisko vides trokšņa karšu izstrādes termiņu. Tādējādi trokšņa kartēšanas termiņi jau ir savlaicīgi zināmi, kā arī vides trokšņa kartēšanas tehniskās prasības netiek būtiski papildinātas un pārņem Ministru kabineta 2014.gada 7.janvāra noteikumu Nr.16 "Trokšņa novērtēšanas un pārvaldības kārtība" spēkā esošās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par prasības par stratēģisko vides trokšņa karšu izstrādi piemērošanu.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Aglomerācijas pašvaldība, transporta infrastruktūras objekta pārvaldītājs un attiecīgās transporta infrastruktūras objekta valsts kapitāldaļu turētājs apkopo un izvērtē saņemtos rakstiskos priekšlikumus un atsauksmes par attiecīgo rīcības plāna projektu, iestrādā tos rīcības plānā, kā ari sagatavo pārskatu par priekšlikumiem. Pārskatā norāda priekšlikumus, kas ņemti vērā, un noraidītos priekšlikumus (norādot noraidīšanas pamatojumu.).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frāzi "norādot noraidīšanas pamatojumu" neietvert iekavās, ņemot vērā, ka tajās ietvertā informācija ir būtiska normas piemērošanai. Norādām, ka iekavās ietvertie skaidrojumi un precizējumi var padarīt tiesību aktu neskaidru un var sašaurināt vai paplašināt tiesību normas tvērumu. Attiecīgi aicinām svītrot iekavas.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Aglomerācijas pašvaldība, transporta infrastruktūras objekta pārvaldītājs un attiecīgās transporta infrastruktūras objekta valsts kapitāldaļu turētājs apkopo un izvērtē saņemtos rakstiskos priekšlikumus un atsauksmes par attiecīgo rīcības plāna projektu, iestrādā tos rīcības plānā, kā ari sagatavo pārskatu par priekšlikumiem. Pārskatā norāda priekšlikumus, kas ņemti vērā, un noraidītos priekšlikumus (norādot noraidīšanas pamatojumu.).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33.3. apakšpunktu veidot kā 33. punkta apakšpunktu, to sākot ar mazo teikuma burtu, vai arī veidot to kā atsevišķu projekta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Atzīt par spēku zaudējušiem Ministru kabineta 2014. gada 7. janvāra noteikumus Nr. 16 "Trokšņa novērtēšanas un pārvaldības kārtība" (Latvijas Vēstnesis, 2014, 16. nr.; 2015, 193. nr.; 2017, 254. nr.; 2018, 157. nr.; 2019, 137. nr.).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Sniedzot atbildi uz Finanšu ministrijas (VNĪ) priekšlikumu noteikumu projekta anotāciju papildināt ar skaidrojumu par Ministru kabineta 2014. gada 7. janvāra noteikumos Nr. 16 "Trokšņa novērtēšanas un pārvaldības kārtība" (turpmāk - MK noteikumi Nr.16) ietverto regulējumu, kas ar šo noteikumu projektu tiek atcelts un netiek ietverts jaunajā regulējumā, nepieciešamības gadījumā precizējot noteikumu projektu, izziņas 94.punktā tiek skaidrots,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Nr.16 uzskaitītie gadījumi, uz kuriem nav attiecināmas prasības par vides trokšņa kartēšanu un rīcības plānu izstrādi un kuri nav iekļauti šajā noteikumu projektā, ir iekļauti noteikumu projektā "Satiksmes un rūpniecisko objektu vides trokšņa pārvaldība" (21-TA-871)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TAP portālā publicētajā MK noteikumu projektā "Satiksmes un rūpniecisko objektu vides trokšņa pārvaldība" (21-TA-871) nav ietverts regulējums par pienākumu veikt trokšņa avota skaņas ierobežošanu, kas šobrīd ietverts MK noteikumu Nr.16 14.punktā.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nepieciešamību precizēt izziņas 94.punktā sniegto skaidrojumu, nepieciešamības gadījumā precizēt noteikumu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novērst  traucējumus iedzīvotāju rekreācijas aktivitātēm pilsētvidē, ierosinām pielikuma tabulas “Vides trokšņa robežlielumi” 5.punktā “Teritorijas ar īpašiem noteikumiem attiecībā uz vides trokšņa robežlielumu (klusais rajons aglomerācijā)” kā atsevišķu apakškategoriju noteikt publiskās ārtelpas kategorijas, kuru funkcijas izvirza augstas prasības pēc akustiskās vides (piemēram, pasīvās rekreācijas funkcija), nosakot tām zemākus trokšņa līmeņa robežlielumus (veicot mērījumus un aprēķinus jāievēro cilvēka dzirdes orgāna augstums).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Atbilstīga teritorijas plānošanas, izmantošana un apbūve, kā arī  būvniecības būvakustikas jomas regulējums jau šobrīd nodrošina cilvēkam labvēlīgas akustiskās (skaņu) vides veidošanu ēkās un apbūvē kopumā.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Noteikumu projekta 1. pielikuma 5. punkta tabula, gan Ministru kabineta noteikumu projekta Nr. 21-TA-871 "Satiksmes un rūpniecisko objektu vides trokšņa pārvaldība”  pielikuma tabula ir gandrīz identiskas. Izņēmums ir 2. kolonnas nosaukums, kas pirmajā gadījumā ir “Apbūves teritorijas izmantošanas funkcija”, bet otrajā “Apbūves teritoriju funkcionālās zonas”, kas pēc būtības ir ar identisku jēgu. Nav skaidrs, kāpēc ir divas šādas tabulas. Rosinām noteikumu projektā norādīt atsauci uz Ministru kabineta noteikumu projekta Nr. 21-TA-871 pielikumu.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prasības un kartību stratēģisko vides trokšņa  karšu un rīcības plānu un šo noteikumu projekta 1. pielikumā iekļautā informācija attiecas uz stratēģisko vides trokšņa karšu un rīcības plānu izstrādi.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trokšņa indikatoru vērtēšanas metodes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2.pielikumā ir norādīts, ka autosatiksmes radīto troksni jāaprēķina, izmantojot Francijas metodi NMPB-Routes-96.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metode ir vairāk kā 25 gadus veca un neatbilst pašreiz ceļu tīklā esošajam automašīnu parkam un tā trokšņa rādītājiem, ar to saistītie dokumenti – XPS 31-133 un CETUR 1980 – ir novecojuši.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Francijā šī metode ir pārstrādāta un spēkā ir 2008.gada metode.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ietvert atsauci uz jaunāko metodi vai arī izmantot tikai vienu, pašreiz MK noteikumos Nr.16 norādīto un 5.pielikumā ietverto metodi.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noteikumu projekta 9.punktā ir norādīts, ka vides trokšņa indikatora vērtības nosaka ar kopīgām trokšņa novērtēšanas metodēm (noteikumu projektu 2.pielikums), kas ir precizētas ar grozījumiem kopīgās trokšņa novērtēšanas metodēs (noteikumu projekta 3.pielikums).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detalizētāk aprakstot ar Noteikumu projektu risināmos jautājumus, kas cita starpā identificēti 2021.gada 18.februārī Ministru kabineta zināšanai pieņemtajā informatīvajā ziņojumā “Par vides trokšņa regulējumu”, kā arī  papildināt anotāciju ar aprakstošo informāciju par paredzētajiem grozījumiem tiesību aktu sistēmā (tostarp kādus tiesību aktu grozījumus nepieciešams vienlaikus virzīt, vai ir nepieciešams izstrādāt jaunus tiesību aktus), ņemot vērā, ka ar Noteikumu projekta pieņemšanu spēku zaudēs Ministru kabineta 2014.gada 7.janvāra noteikumi Nr.16 “Trokšņa novērtēšanas un pārvaldības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anotācijas 1.2. un 1.3. sadaļā, aprakstot kādu regulējumu, precizēt nacionālā vai Eiropas Savienības normatīvā akta konkrētas vienības, kurās regulējums iekļauts.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 sadaļā vairākkārt iztrūkst teikumu sākumi (piemēram, "[..] ir precizēti vides trokšņa kartēšanā izmantojami vides trokšņa indikatori un to novērtēšanas metodes.", pārņemtas MK noteikumu Nr. 16 attiecīgās tiesību normas par Eiropas Komisijai sniedzamo informāciju.). Attiecīgi aicinām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 sadaļā, aprakstot, no kādām nodaļām un pielikumiem sastāv projekts, ievērot vienādu stilistiku un uzskaitījumu numurēt, lai atvieglotu anotācijas uztveramību.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Nr. 16 16. punktā ietverto skaidrojumu par to, kas ir trokšņa ietekmētā pašvaldība, lūdzam izvērstāk anotācijā skaidrot, vai un kā termina izpratne projektā atšķiras no noteikumos Nr. 16 lietotā termina izpratnes.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pārņemot noteikumu Nr.16 ietverto skaidrojumu par to, kas ir trokšņa ietekmētā pašvaldība.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ir gana apjomīgs un aizstāj Ministru kabineta 2014. gada 7. janvāra noteikumos Nr. 16 “Trokšņa novērtēšanas un pārvaldības kārtība”, aicinām pilnveidot un papildināt noteikumu projekta anotāciju ar izsmeļošāku informāciju par jaunā noteikumu projekta saturu un atšķirībām no iepriekš minētajos noteikumos ietvertā regulējuma.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45.punktu ar šiem noteikumiem tiek atzīti par spēku zaudējušiem Ministru kabineta 2014. gada 7.janvāra noteikumi Nr. 16 "Trokšņa novērtēšanas un pārvaldības kārtība" (turpmāk – MK noteikumi Nr.16), atceļot virkni regulējuma, kas nav ietverts jaunajos noteikumos. Piemēram, noteikumu projektā nav ietverts MK noteikumu Nr.16 14.punktā ietvertais regulējums par pienākumu veikt trokšņa avota skaņas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“14. Teritorijā, kurā:</w:t>
            </w:r>
            <w:r w:rsidR="00000000" w:rsidRPr="00000000" w:rsidDel="00000000">
              <w:rPr>
                <w:i w:val="1"/>
                <w:rtl w:val="0"/>
              </w:rPr>
              <w:t xml:space="preserve">14.1. veic vai plāno veikt komercdarbību, izmantojot iekārtas vai izpildot darbības, kas var radīt trokšņa robežlielumu pārsniegumus ārpus teritorijas, un kura robežojas ar šo noteikumu 2. pielikumā minētajām teritorijām vai šo noteikumu 4. pielikumā minētajām telpām, trokšņa avotus aprīko ar skaņas ierobežotājiem vai teritoriju norobežo ar troksni slāpējošiem objektiem, ja citādi nav iespējams nodrošināt trokšņa robežlielumu ievērošanu;</w:t>
            </w:r>
            <w:r w:rsidR="00000000" w:rsidRPr="00000000" w:rsidDel="00000000">
              <w:rPr>
                <w:i w:val="1"/>
                <w:rtl w:val="0"/>
              </w:rPr>
              <w:t xml:space="preserve">14.2. trokšņa rādītāja vērtība saskaņā ar trokšņa stratēģisko karti, kas izstrādāta atbilstoši šo noteikumu prasībām, vai vides trokšņa novērtēšanu pārsniedz šo noteikumu 2. pielikumā minēto trokšņa robežlielumu, ir pieļaujama ēku būvniecība, kas atbilst vietējās pašvaldības teritorijas plānojumam, ja būvniecības ierosinātājs projektē un īsteno prettrokšņa pasākumus atbilstoši Latvijas būvnormatīva LBN 016-11 "Būvakustika"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noteikumu projekta anotāciju papildināt ar skaidrojumu par MK noteikumos Nr.16 ietverto regulējumu, kas ar šo noteikumu projektu tiek atcelts un netiek ietverts jaunajā regulējumā, nepieciešamības gadījumā precizējot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vides trokšņa stratēģisko karšu un rīcības plānu izstrādi atbilstoši Direktīvas 2002/49/EK.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2014.gada 7.janvāra noteikumi Nr.16 "Trokšņa novērtēšanas un pārvaldības kārtība" (turpmāk - MK noteikumi Nr. 16) ietver prasības ne tikai attiecībā uz vides trokšņa stratēģisko karšu un rīcības plānu izstrādi, bet arī attiecībā, piemēram, uz trokšņa novērtēšanu telpās, satiksmes un rūpniecisko objektu radīto vides troksni. MK noteikumos Nr.16 uzskaitītie gadījumi, uz kuriem nav attiecināmas prasības par vides trokšņa kartēšanu un rīcības plānu izstrādi un kuri nav iekļauti šajā noteikumu projektā, ir iekļauti noteikumu projektā "Satiksmes un rūpniecisko objektu vides trokšņa pārvaldība" (21-TA-871)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pilnīgāk raksturot projekta ietekmi uz sabiedrību anotācijas 2.1. sadaļā, ņemot vērā, ka norāde "aktualizē esošo regulējumu" pati par sevi neraksturo ietekmi.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pie "Cita informācija" norādīto informāciju ietvert anotācijas 7.sadaļā "Tiesību akta projekta izpildes nodrošināšana un tās ietekme uz institūcijām". Kā arī vēršam uzmanību, ka atbilstoši Ministru kabineta 2021.gada 7.septembra noteikumu Nr.617 “Tiesību akta projekta sākotnējās ietekmes izvērtēšanas kārtība” 15.punktam visiem projektiem aizpilda šo noteikumu 14.1., 14.2., 14.6. un </w:t>
            </w:r>
            <w:r w:rsidR="00000000" w:rsidRPr="00000000" w:rsidDel="00000000">
              <w:rPr>
                <w:u w:val="single"/>
                <w:rtl w:val="0"/>
              </w:rPr>
              <w:t xml:space="preserve">14.7. </w:t>
            </w:r>
            <w:r w:rsidR="00000000" w:rsidRPr="00000000" w:rsidDel="00000000">
              <w:rPr>
                <w:rtl w:val="0"/>
              </w:rPr>
              <w:t xml:space="preserve">apakšpunktā minēto anotācijas sadaļu, savukārt šo noteikumu 14.3., 14.4., 14.5. un 14.8. apakšpunktā minēto sadaļu aizpilda,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secīgi izvietot anotācijas 5. sadaļas 1. tabulā ietvertās Direktīvas 2002/49/EK pārņemtās vienības, tādējādi atvieglojot tabulā ietvertās informācijas uztveramību.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anotācijas 6. sadaļā norādītās informācijas par projekta izstrādē iesaistītajām institūcijām korektumu un sadaļu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anotācijas 7. sadaļā iekļautās informācijas korektumu, ņemot vērā projektā paredzētās izmaiņas (piemēram, projektā, salīdzinot ar noteikumiem Nr. 16, vairs nav paredzēti pienākumi Veselības inspekcijai). Attiecīgi lūdzam izvērtēt un precizēt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vai institūciju funkcijas un uzdevumi tiešām nemainās, ņemot vērā, ka, piemēram, spēkā esošo Ministru kabineta 2014.gada 7.janvāra noteikumu Nr.16 “Trokšņa novērtēšanas un pārvaldības kārtība” 12.punkts nosaka pienākumu Veselības inspekcijai, kas jauno noteikumu projektā nav ietverts.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ņemt vērā un anotācijas 7.punktā uzskaitīt projekta izpildē iesaistītās institūcijas un norādīt, ka noteikumu projekta izpilde tiks nodrošināta esošā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21-TA-849</w:t>
    </w:r>
    <w:r>
      <w:br/>
    </w:r>
    <w:r w:rsidR="00000000" w:rsidRPr="00000000" w:rsidDel="00000000">
      <w:rPr>
        <w:rtl w:val="0"/>
      </w:rPr>
      <w:t xml:space="preserve">23.02.2023. 13.18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21-TA-849</w:t>
    </w:r>
    <w:r>
      <w:br/>
    </w:r>
    <w:r w:rsidR="00000000" w:rsidRPr="00000000" w:rsidDel="00000000">
      <w:rPr>
        <w:rtl w:val="0"/>
      </w:rPr>
      <w:t xml:space="preserve">23.02.2023. 13.18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 Target="media/image9.png" Type="http://schemas.openxmlformats.org/officeDocument/2006/relationships/image" Id="rId9"/></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Izziņa_21-TA-849.docx</dc:title>
</cp:coreProperties>
</file>

<file path=docProps/custom.xml><?xml version="1.0" encoding="utf-8"?>
<Properties xmlns="http://schemas.openxmlformats.org/officeDocument/2006/custom-properties" xmlns:vt="http://schemas.openxmlformats.org/officeDocument/2006/docPropsVTypes"/>
</file>