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25.1. apakšpunktu pēc vārdiem "attiecināma ir ne mazāka kā 30 procentu noslodze" ar vārdiem "no normāla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(turpmāk – MK) informatīvā ziņojuma 25.1.apakšpunkts.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25.2.1. apakšpunktā svītrot vienu no atsaucēm uz ziņojuma 23.4.apakšpunktu, ņemot vērā, ka tā ir iekļauta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25.2.1.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25.2.1.apakšpunktā norādīts, ka pakalpojumu (uzņēmuma līgumu) izmaksas var plānot 23.5. apakšpunktā minētās atbalstāmās darbības īstenošanai, </w:t>
            </w:r>
            <w:r w:rsidR="00000000" w:rsidRPr="00000000" w:rsidDel="00000000">
              <w:rPr>
                <w:u w:val="single"/>
                <w:rtl w:val="0"/>
              </w:rPr>
              <w:t xml:space="preserve">ja informācijas un publicitātes pasākumu īstenošanai ir nepieciešams piesaistīt pakalpojuma sniedzēju</w:t>
            </w:r>
            <w:r w:rsidR="00000000" w:rsidRPr="00000000" w:rsidDel="00000000">
              <w:rPr>
                <w:rtl w:val="0"/>
              </w:rPr>
              <w:t xml:space="preserve">. Savukārt 36.punktā norādīts, ka ziņojuma 23.5. apakšpunktā minēto atbalstāmo darbību </w:t>
            </w:r>
            <w:r w:rsidR="00000000" w:rsidRPr="00000000" w:rsidDel="00000000">
              <w:rPr>
                <w:u w:val="single"/>
                <w:rtl w:val="0"/>
              </w:rPr>
              <w:t xml:space="preserve">īstenos finansējuma saņēmēja īstenošanas personāls</w:t>
            </w:r>
            <w:r w:rsidR="00000000" w:rsidRPr="00000000" w:rsidDel="00000000">
              <w:rPr>
                <w:rtl w:val="0"/>
              </w:rPr>
              <w:t xml:space="preserve">. Lūdzam salāgot informāciju minētajos ziņojuma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37.punkts.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25.2.3. apakšpunktā precizēt norādīto atsauci no 26.3. uz 26.1.apakšpunktu.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25.2.3.apakšpunkts.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ziņojuma 26.3.apakšpunktu, jo tas dublējas ar ziņojuma 25.2.2.apakšpunktu.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informatīvā ziņojuma 26.3.apakšpunkts.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sadaļu "IV. Pasākuma īstenošanas nosacījumi" ar informāciju par pasākuma īstenošanas konsultatīvo uzraudzību, ņemot vērā, ka atbilstoši  ziņojuma 16.3.3.apakšpunktā norādītajam plānotais finansējuma saņēmējs sniedz Invaliditātes lietu nacionālajai padomei informāciju par plānotā projekta īstenošanas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informatīvā ziņojuma IV. daļa “Pasākuma īstenošanas nosacījumi” ar jaunu punktu un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ziņojuma 40.punktā aizstāt vārdu “līgums” ar vārdu “vienošanās”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42.punkts.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informatīvo ziņojumu, norādot informāciju par pasākuma atbalsta sniegšanas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ES fondu normatīvā regulējuma praksē netiek noteikti šādi pasākuma atbalsta veida nosacījumi. Līdz 2021. – 2027.gada plānošanas perioda regulējuma un to skaidrojošo piemērošanas vadlīniju ietvara, kas izdiskutēts ar visām ES fondu vadībā iesaistītajām institūcijām pieņemšanai, neplānojam MK informatīvajā ziņojumā noteikt pasākuma atbalsta sniegšanas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informatīvo ziņojumu ar vispārējo punktu par to, ka tiklīdz stājas spēkā vienkāršoto izmaksu horizontālā metodika par izmaksām, kuras ir paredzētas pasākumā, tā ir obligāti piemērojama. Piemēram, 26.2. apakšpunktā ir norādītas darba vietas aprīkojuma izmaksas, kurām tiek plānota un perspektīvā tiks izstrādāta vienkāršoto izmaksu horizontālā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informatīvais ziņojums papildināts ar jaunu punktu (kā 31.punktu).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20.punktu, norādot valsts budžeta finansējuma un ES fondu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plānotā projekta indikatīvā finansējuma sadalījumu pa gadiem ir norādīta protokollēmumā, kas pievienots MK informatīvajam ziņojumam. Finansējuma sadalījums pa finanšu avotiem norādīts protokollēmuma 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realizējot un apgūstot ES fondu projekta finansējumu, pēc savas būtībās tiek uzlaboti procesi iestādē, kam tādejādi vajadzētu veidot līdzekļu ietaupījumu LM (Veselības un darbspēju ekspertīzes ārstu valsts komisijai) pamatfunkciju darbības nodrošināšanai, lūdzam precizēt informatīvā ziņojuma projekta 16.3.10.apakšpunktu, aiz vārda “</w:t>
            </w:r>
            <w:r w:rsidR="00000000" w:rsidRPr="00000000" w:rsidDel="00000000">
              <w:rPr>
                <w:i w:val="1"/>
                <w:rtl w:val="0"/>
              </w:rPr>
              <w:t xml:space="preserve">izmantojot</w:t>
            </w:r>
            <w:r w:rsidR="00000000" w:rsidRPr="00000000" w:rsidDel="00000000">
              <w:rPr>
                <w:rtl w:val="0"/>
              </w:rPr>
              <w:t xml:space="preserve">” norādot: “</w:t>
            </w:r>
            <w:r w:rsidR="00000000" w:rsidRPr="00000000" w:rsidDel="00000000">
              <w:rPr>
                <w:i w:val="1"/>
                <w:rtl w:val="0"/>
              </w:rPr>
              <w:t xml:space="preserve">LM piešķirtos valsts budžeta līdzekļus vai nepieciešamības gadījumā pieprasot valsts budžeta finansējumu atbilstoši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10.4.apakšpunktā noteiktajam.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VDEĀVK darbības dažādu procesu  uzlabojumi būs vērtējami projekta beigās. Tomēr jāņem vērā, ka šis pasākums ir kā atbalsts speciālistu (ārstu, klientu apkalpošanas darbinieku u.c.) veiktspējas stiprināšanai un savu pienākumu veikšanai arī situācijās, kad valstī kopumā pieaug personu ar invaliditāti skaits (t.i. pieaug darba apjoms), kā arī pieaug  personu prasības vai vēlmes gan pēc augstākas invaliditātes grupas (kas saistīts ar finanšu vai atvieglojumu atbalsta izmaiņām), gan aicinājuma VDEĀVK personālām operatīvāk strādāt vai pieņemt lēmumus “ātrāk”. Tādējādi darba apjoms būtiski nesamazinās, bet šī pasākuma ietvaros ir paredzēts paaugstināt  speciālistu profesionālo kapacitāti un stiprināt veiktspēju.   Pasākuma ietvaros mācību procesu galvenokārt nodrošinās pats īstenošanas personāls, kas tādējādi darba samaksas fondu nesamazina, savukārt attiecībā uz VDEĀVK procesu un analītiskās funkcijas attīstību, t.sk. IIS pilnveide atbilstoši normatīvajam regulējumam par bērnu invaliditātes noteikšanas kārtību, tad tas tiek veikts, gan lai nodrošinātu IIS atbilstību aktuālajiem normatīvajiem aktiem, gan lai analizētu datu masīvus un aktuālo informāciju. Savukārt izstrādātais vienotais informācijas sniegšanas modelis būs kā atbalsta rīks personām ar invaliditāti gadījumos, kad ir nepieciešams informatīvais atbalsts un palīdzība, vai kādus avotus izmantot un kur meklēt palīdzību, pie kā vērsties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minētā, šobrīd netiek prognozēts, ka VDEĀVK piešķirtos valsts budžeta līdzekļus būs iespējams novirzīt projekta ilgtspējas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16.1.2.apakšpunktu ar nosacījumu, ka sadarbības iestādei iesniegtās informācijas izvērtēšanai un saskaņošanai paredzētais termiņš </w:t>
            </w:r>
            <w:r w:rsidR="00000000" w:rsidRPr="00000000" w:rsidDel="00000000">
              <w:rPr>
                <w:u w:val="single"/>
                <w:rtl w:val="0"/>
              </w:rPr>
              <w:t xml:space="preserve">nav īsāks</w:t>
            </w:r>
            <w:r w:rsidR="00000000" w:rsidRPr="00000000" w:rsidDel="00000000">
              <w:rPr>
                <w:rtl w:val="0"/>
              </w:rPr>
              <w:t xml:space="preserve"> par 7 darbadienām.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20.1.2.apakšpunkts.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informatīvajā ziņumā iekļautā pasākuma 4.3.6.2. īstenošanas mērķiem ir Veselības un darbspēju ekspertīzes ārstu valsts komisijas (turpmāk - VDEĀVK) klientu apkalpošanas efektivitātes un kvalitātes uzlabošana. Informatīvais ziņojums koncentrējas uz VDEĀVK speciālistu profesionālo spēju pilnveidi un no tās izrietošo ieguvumu personām, kuras tiek nosūtītas uz invaliditātes ekspertīzi. Vienlaikus netiek minēts, kā šī profesionālā pilnveide varētu ietekmēt VDEĀVK komunikāciju ar ārstniecības personu, kas veic būtisku darbu nosūtījuma sagatavošanā. Jau kopš 2015.gada invaliditātes ekspertīze tiek veikta bez personas klātbūtnes, tādējādi ievērojami atvieglojot slogu personai, kam nav jāierodas uz VDEĀVK, tomēr nav ņemts vērā, ka katru nosūtījumu sagatavo ģimenes ārsts. Tā kā personas veselības un funkcionālo spēju ekspertīze netiek veikta klātienē, bet klātienes izvērtējums ir aizstāts ar veselības stāvokļa aprakstu nosūtījumā, pieaudzis slogs ģimenes ārstam, jo ģimenes ārstam jāsagatavo nosūtījums tā, lai VDEĀVK iegūtu pilnīgu skatījumu uz personas veselības stāvokli, viņu neredzot. Tādējādi ievērojamu daļu darba saistībā ar invaliditātes ekspertīzi paveic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informatīvajā ziņojumā nepieciešams atspoguļot, kā VDEĀVK ekspertu profesionālā izaugsme ietekmēs ģimenes ārstu vai citu ārstniecības personu, kas gatavo nosūtījumus, darbu. Piemēram, tiks samazināts nosūījumā (veidlapa 088/u) prasītās informācijas apjoms, VDEĀVK neprasīs ģimenes ārstam nosūtīt pacientu uz papildu izmeklējumiem, vai arī ļoti rūpīgi izvērtēs šādas informācijas nepieciešamību, laikus tiks sniegts atzinums darbnespējas lapas pagarināšanai.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informatīvā ziņojuma 36.1.apakšpunktā kā viena no atbalstāmajām darbībām ir - organizēt informatīvi izglītojošos pasākumus, t.sk. seminārus, konferences, atvērto durvju dienas u.c., kā arī sabiedrības izpratnes un informētības paaugstināšanas pasākumus par aktualitātēm invaliditātes noteikšanas, darbspējas un funkcionēšanas ierobežojumu vērtēšanas procesā (MK informatīvā ziņojuma 23.4.apakšpunkts). Minētās darbības ietvaros VDEĀVK kā 4.3.6.2. pasākuma plānotais finansējuma saņēmējs, organizēs seminārus, kuros sniegs informāciju par invaliditātes noteikšanas kārtību un ekspertīzes jautājumiem, t.sk. ģimenes ārstiem par invaliditātes ekspertīzei nepieciešamo veidlapu aizpildīšanu (</w:t>
            </w:r>
            <w:r w:rsidR="00000000" w:rsidRPr="00000000" w:rsidDel="00000000">
              <w:rPr>
                <w:i w:val="1"/>
                <w:rtl w:val="0"/>
              </w:rPr>
              <w:t xml:space="preserve">attiecīgi papildināts MK informatīvā ziņojuma 36.1.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savā atzinumā par Ministru kabineta 15.05.2018. sēdes protokollēmumā (prot.Nr.24 11.§) dotā uzdevuma “izvērtēt prasības attiecībā uz iesniedzamajiem izmeklējumiem invaliditātes noteikšanai un nepieciešamības gadījumā sagatavot grozījumus MK noteikumos Nr.805 un iesniegt izskatīšanai Ministru kabinetā” izpildi ir informējis ministru prezidentu un VM (LM 13.05.2021.  vēstule Nr.40-1-03/857), ka, tostarp ārstējošais ārsts nosūtījumu uz VDEĀVK var sagatavot, balstoties uz personas veselības stāvokļa un ārstēšanas procesā veikto diagnostiku, un ka nepieciešams pievienot tikai tos izmeklējumus, kas pamato veselības un funkcionālo spēju stāvokļa izmaiņas (novirzes):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ir izstrādātas Vadlīnijas ģimenes ārstiem nosūtījuma uz VDEĀVK (veidlapa 088/u)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pakāpeniski papildinoties E-veselības sistēmā uzkrātajiem medicīnas datiem, darbs tiks atslogots gan ģimenes ārstiem, gan VDEĀVK.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4.3.6.2. pasākuma projekta ietvaros plānots uzlabot invaliditātes ekspertīzē iesaistīto speciālistu profesionālās zināšanas, pilnveidot ekspertīzes noteikšanas procesus u.tml., tomēr kopējā procesa uzlabošanai ļoti būtiska ir arī VM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III.nodaļas 25.1.apakšpunktu, ņemot vērā to, ka atalgojuma izmaksas ir finansējamas tikai vienkāršoto izmaksu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ātrāk uzsākamiem pasākumiem, t.sk. 4.3.6.2. pasākuma “Atbalsta pasākumi Veselības un darbspēju ekspertīzes ārstu valsts komisijas klientu apkalpošanas efektivitātes un kvalitātes uzlabošanai, speciālistu profesionālo spēju, invaliditātes informatīvās sistēmas procesu un funkcionalitātes pilnveidei” saskaņā ar MK informatīvo ziņojumu (skat.17.punktu) piemēro 2014. – 2020.gada ES fondu plānošanas perioda horizontālajā regulējumā un vadlīnijās noteikto nosacījumu ietvaru. Tajā nav noteikts nosacījums atalgojuma izmaksas finansēt tikai vienkāršoto izmaksu veidā. Attiecīgi pirms ir stājies spējā 2021. – 2027.gada ES fondu plānošanas perioda regulējums un to skaidrojošās piemērošanas vadlīnijas, kas izdiskutētas visu ES fondu vadībā iesaistīto iestāžu starpā, nepiekrītam šāda nosacījuma iekļaušanai MK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projekta 22.2. apakšpunktā, ka minētais specifiskais iznākuma rādītājs ir projekta līmeņa rādītājs, ņemot vērā, ka šobrīd Eiropas Savienības kohēzijas politikas programmā 2021.–2027.gadam (turpmāk – programma) tāds nav iekļauts vai arī izvērtēt iespēju iekļaut minēto rādītāju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 atbildīgā iestāde ir izvērtējusi pasākuma ietekmi uz horizontālajiem principiem “Nenodarīt būtisku kaitējumu”, “Klimatdrošināšana” un “Energoefektivitāte pirmajā vietā” un novērtējusi, ka tiem nav ietekmes uz minētajiem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informatīvais ziņojums papildināts ar jaunu 39.punktu: Pasākumam ir tieša ietekme uz horizontālo principu  “Vienlīdzība, iekļaušana, nediskriminācija un pamattiesību ievērošana”. Plānotā projekta ietvaros tiks īstenotas darbības, kas veicina vienlīdzību, iekļaušanu, nediskrimināciju un pamattiesību ievērošanu. Plānotā projekta vadībā un īstenošanā tiks īstenoti vispārīgi un specifiski horizontālā principa “Vienlīdzība, iekļaušana, nediskriminācija un pamattiesību ievērošana” pasākumi, īpaši saistībā ar sabiedrības izpratnes un informētības paaugstināšanas pasākumu īstenošanu par aktualitātēm invaliditātes noteikšanas, darbspējas un funkcionēšanas ierobežojumu vērtēšanas procesā, tostarp tiks nodrošināta informācijas un vides piekļūstamība, nediskriminācija pēc vecuma, dzimuma, etniskās piederības u.c. pazīmēm,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vērtēšanā ir noteikts specifiskais atbilstības kritērijs: “2.6. Projektā ir paredzētas darbības, kas veicina vienlīdzību, iekļaušanu, nediskrimināciju un pamattiesību ievērošanu”, kas veicinās horizontālā principa īstenošanu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paaugstināt personu ar invaliditāti vai funkcionēšanas ierobežojumiem apkalpošanas efektivitāti un kvalitāti, komisijas nodarbināto profesionālās spējas, vienlaikus samazinot invaliditātes ekspertīzei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(4.lpp.) minēts, ka normatīvajos aktos noteiktie invaliditātes kritēriji ir samērā vispārīgi un pieļauj interpretācijas iespējas, tādējādi svarīga ir vienota izpratne par to izmantošanu un piemērošanu (piemēram, attiecīgu metodisko norādījumu izstrāde, skaidrojumu pilnveidošana utt.). Komisijas stratēģijā kā viens no mērķiem ir noteikts apstrīdēto lēmumu īpatsvara (no visiem lēmumiem)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pasākuma mērķa grupa (11.lpp.) noteikti komisijas ārsti, speciālisti, amatpersonas, atbalsta funkciju veicēji un citi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23.decembra noteikumu Nr.805 </w:t>
            </w:r>
            <w:r w:rsidR="00000000" w:rsidRPr="00000000" w:rsidDel="00000000">
              <w:rPr>
                <w:i w:val="1"/>
                <w:rtl w:val="0"/>
              </w:rPr>
              <w:t xml:space="preserve">Prognozējamas invaliditātes, invaliditātes un darbspēju zaudējuma noteikšanas un invaliditāti apliecinoša dokumenta izsniegšanas noteikumi</w:t>
            </w:r>
            <w:r w:rsidR="00000000" w:rsidRPr="00000000" w:rsidDel="00000000">
              <w:rPr>
                <w:rtl w:val="0"/>
              </w:rPr>
              <w:t xml:space="preserve"> 7.punktā noteiktajam, ja, nosakot medicīniskās indikācijas īpašai kopšanai personai no 18 gadu vecuma, ir nepieciešams ikdienā veicamo darbību un vides novērtējums saskaņā ar šo noteikumu 8. pielikuma 2. punktu, </w:t>
            </w:r>
            <w:r w:rsidR="00000000" w:rsidRPr="00000000" w:rsidDel="00000000">
              <w:rPr>
                <w:u w:val="single"/>
                <w:rtl w:val="0"/>
              </w:rPr>
              <w:t xml:space="preserve">pēc komisijas pieprasījuma</w:t>
            </w:r>
            <w:r w:rsidR="00000000" w:rsidRPr="00000000" w:rsidDel="00000000">
              <w:rPr>
                <w:rtl w:val="0"/>
              </w:rPr>
              <w:t xml:space="preserve"> to veic pašvaldības sociālā dienesta sociālais darbinieks vai pašvaldības sociālā dienesta ergoterapeits.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sociālo dienestu sniegtajai informācijai ir gadījumi, kad ir domstarpības starp VDEĀVK un sociālo dienestu speciālistiem, nav vienotas izpratnes par šo novērtējumu, ir gadījumi, kad bijušas tiesvedības saistībā ar veikto novērtējumu. Jau iepriekš bijušas diskusijas ar Labklājības ministrijas speciālistiem par nepieciešamību veidot vienotu izpratni abām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papildināt pasākuma mērķa grupu ar pašvaldību sociālajiem darbiniekiem un paredzēt izglītojošus un informatīvus pasākumus vienotas izpratnes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informatīvā ziņojuma 36.1.apakšpunktā kā viena no atbalstāmajām darbībām ir - organizēt informatīvi izglītojošos pasākumus, t.sk. seminārus, konferences, atvērto durvju dienas u.c., kā arī sabiedrības izpratnes un informētības paaugstināšanas pasākumus par aktualitātēm invaliditātes noteikšanas, darbspējas un funkcionēšanas ierobežojumu vērtēšanas procesā (MK informatīvā ziņojuma 23.4.apakšpunkts). Minētās darbības ietvaros VDEĀVK, kā 4.3.6.2. pasākuma plānotais finansējuma saņēmējs, organizēs seminārus, kuros sniegs informāciju par invaliditātes noteikšanas kārtību un ekspertīzes jautājumiem, t.sk. sociālajiem darbiniekiem par invaliditātes ekspertīzei nepieciešamo personu darbību un vides vērtējumu aizpildīšanu (attiecīgi papildināts MK informatīvā ziņojuma 36.1.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iesniegtos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projektu iesniegumu atlases dokumentus izskatīšanai 2022.gada 24.februāra Uzraudzības komitejas Nodarbinātības, darbaspēka mobilitātes un sociālā iekļaušanas prioritārā virziena apakškomitejas sēdē (turpmāk – apakškomitejas sēde), vēršam uzmanību, ka izrietoši no apakškomitejas sēdē panāktajām vienošanām attiecīgi precizējumi būs jāveic arī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šo informāciju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 punktā norādīt minētās informācijas “tika atceltas arī tādas operācijas, kuru atcelšanas rezultātā personai varēja rasties veselības un funkcionēšanas traucējumi” avotu vai svītrot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informatīvā ziņojuma 3. punkts papildināts ar atsauci uz Komisijas 2020. gada pārskatu https://www.vdeavk.gov.lv/lv/media/459/download (skat. pārskatā 14.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38.1.apakšpuntā precizēt norādīto atsauci no 19.punkta uz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38.1.punkts.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vienkāršoto izmaksu iespēju izmantošanu līdz informatīvā ziņojuma apstiprināšanai, proti, kuru izmaksu attiecināšanai varētu izmantot vienkāršotās izmaksas – piemēram, vienu vienību. Ja nav iespējams, lūdzam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pēc to izvērtēšanas ir nepieciešams atrunāt arī minētajā ziņojumā, ka vienkāršotās izmaksas tiks izmantotas saskaņā ar izstrādāto metodiku, vienlaikus arī atrunājot, kādā veidā izmaksas tiks attiecinātas līdz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aicinām izvērtēt iespēju izmantot Regulas Nr.2021/1060 55. panta 1.punktā noteikto iespēju, tas ir  izmantot līdz 20% vienoto likmi (bez metodikas izstrādes) personāla izmaksām, ņemot vērā, ka tas samazinās administratīvo slogu visiem iesaistītajiem. Attiecīgās likmes piemērošanas gadījumā tās apmērs jāsaskaņo ar Eiropas Savienības struktūrfondu un Kohēzijas fonda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Plānotā projekta izmaksas ir attiecināmas no š.g. 1.jūnija (atbilstoši MK informatīvā ziņojuma 41.punkts). Nav paredzēts, ka plānotajam finansējuma saņēmējam (VDEĀVK) varētu rasties izmaksas pirms minētā datuma, tai skaitā līdz MK informatīvā ziņojuma apstiprināšanai. Tādējādi MK informatīvajā ziņojumā netiek iekļauti  nosacījumi par vienkāršos izmaksu iespēju izmantošanu pirms MK informatīvā ziņojuma apstiprināšanas, kā arī attiecīgi nav paredzēts izstrādāt vienkāršoto izmaksu piemērošanas metodiku. Papildus vēlamies atzīmēt, ka vienas vienības izmaksu piemērošana šajā pasākumā nav iespējama dēļ atbalstāmo darbību īstenošanas specifikas, proti, pamatā piesaistot pakalpojumu sniedzējus un tām nevar piemērot horizontālajās vienkāršoto izmaksu vadlīnijās noteiktos vienkāršoto izmaksu aprēķina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projekta ietvaros provizoriski vadības un īstenošanas personāla atlīdzības izmaksas  sastāda 210 000 eur. Ja piemēro 20% likmi, tad aprēķinātās plānotā projekta vadības un īstenošanas personāla izmaksas atbilstoši likmei ir 158 000 eur= (1 000 000 eur – 210 000)*20% eur, kas nav pietiekami visu plānotā projekta personāla atlīdzības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LM atkārtoti vērtēs vienkāršoto izmaksu piemērošanas iespējas uz MK noteikumu par pasākuma īstenošanu izstrādes brīdi, kad būs precīzāk zināms 2021. – 2027.gada plānošanas perioda horizontālais normatīvais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ka neparedzēto izmaksu izlietošanu pirms izdevumu veikšanas plānotais finansējuma saņēmējs 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izstrādājot SAM MK noteikumus, anotācijā lūdzam iekļaut pamatojumu, kāpēc konkrētajā SAM nosaka tieši tādu procentuālo neparedzēto izdevumu apmēru. Vēršam uzmanību, ka katrā SAM minētais procentuālais apmērs ir jāizvērtē individuāli, atkarībā no tā, cik apjomīgus un sarežģītus projektus paredzēts īstenot attiecīgajā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38.1.punkts.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SAM MK noteikumus, LM anotācijā iekļaus pamatojumu, kāpēc konkrētajā SAM nosaka tieši tādu procentuālo neparedzēto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realizējot un apgūstot ES fondu projekta finansējumu, pēc savas būtībās tiek uzlaboti procesi iestādē, kam tādejādi vajadzētu veidot līdzekļu ietaupījumu LM (Veselības un darbspēju ekspertīzes ārstu valsts komisijai) pamatfunkciju darbības nodrošināšanai, kā arī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10.4.apakšpunkts neparedz konkrētu finansējuma apmēru, bet nosaka tikai kārtību, ka ministrijas var pieprasīt finansējumu, nepieciešams precizēt informatīvā ziņojuma projekta 20.3.10.apakšpunktu, aiz vārda “izmantojot” norādot: “LM piešķirtos valsts budžeta līdzekļus vai nepieciešamības gadījumā pieprasot valsts budžeta finansējumu atbilstoši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20.3.10.apakšpunkts.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Labklājības ministrijai un Centrālai finanšu un līgumu aģentūrai veikt grozījumus 2018. gada 2. oktobra vienošanās Nr. LM2018/21-07/15 "Starpresoru vienošanās par sadarbību Eiropas Savienības struktūrfondu un Kohēzijas fonda vadībā 2014.–2020. gada plānošanas periodā", paredzot sadarbību pasākuma īstenošanā atbilstoši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10.01.2022 ir veikti grozījumi "Starpresoru vienošanās par sadarbību Eiropas Savienības struktūrfondu un Kohēzijas fonda vadībā 2014.–2020. gada plānošanas periodā", kuros ir ietverts punkts par sadarbību 2021.-2027. gada plānošanas periodā, lūdzam dzēst protokollēmuma 8.punktu.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protokollēmuma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pasākuma mērķi un ziņojuma 42.2.punktā minēto, ka finansiālās palīdzības saņēmējs ir tiešās valsts pārvaldes iestāde un nav uzskatāms par saimnieciskās darbības veicēju, lūdzam precizēt 42.punktu norādot, ka finansiālās palīdzības saņēmējs ir tiešās valsts pārvaldes iestāde un pasākuma ietvaros neveiks saimniecisko darbību, līdz ar to pasākums nav tālāk jāvērtē Komercdarbības atbalsta kontroles likuma (KAKL) 5.panta kontekstā, secinot, ka pasākums nav kvalificējams kā komercdarbības atbalsts. Lūdzam attiecīgi dzēst izvērtējumu atbilstoši KAKL pazīmēm, jo šobrīd tas nav jāveic, ja saimnieciskā darbība vispār netiek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44.punkts.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2.1. specifisko atbilstības kritēriju paredzēts vērtēt, vai projekta iesniegumā ir aprakstīts, ka </w:t>
            </w:r>
            <w:r w:rsidR="00000000" w:rsidRPr="00000000" w:rsidDel="00000000">
              <w:rPr>
                <w:u w:val="single"/>
                <w:rtl w:val="0"/>
              </w:rPr>
              <w:t xml:space="preserve">mācības tiks nodrošinātas</w:t>
            </w:r>
            <w:r w:rsidR="00000000" w:rsidRPr="00000000" w:rsidDel="00000000">
              <w:rPr>
                <w:rtl w:val="0"/>
              </w:rPr>
              <w:t xml:space="preserve"> mērķa grupas personām visās komisijas reģionālajās nodaļās, lūdzam izvērtēt nepieciešamību papildināt 23.1.apakšpunktā norādīto atbalstāmo darbību, aiz vārda “pilnveidošana” ievietojot vārdus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informatīvā ziņojuma 23.1.apakšpunkts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29.apakšpunktā nav dzēšama atsauce uz konkrētu punktu, atstājot vispārīgu nosacījumu. Vēršam uzmanību, ka arī ziņojuma 26.punkta apakšpunktu izmaksās tiek piemērots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33.2.apakšpunkts nav papildināms ar informāciju par izmēģinājumprojekta rezultātu efektivitātes novērtēšanu un vai novērtējuma rezultāti tiks skaņoti izveidotajā uzraudzības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informatīvais ziņojums papildināts ar jaunu 32.apakšpunktu, paredzot, ka pasākuma īstenošanas konsultatīvu uzraudzību veiks šā ziņojuma 20.3.3.apakšpunktā minētā uzraudzības padome,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32.1.izvērtēs informāciju par plānotā projekta īstenošanas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32.2.konsultēs plānoto finansējuma saņēmēju un  ieteikumus pasākuma īstenošanas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ņemot vērā, ka VDEĀVK ir LM padotības iestāde un pilda Invaliditātes likumā noteiktās funkcijas, tad ILNP kā uzraudzības padomei pēc uzaicinājuma tiks sniegta visa informāciju par plānotā projekta īstenošanas progresu, t.sk. par izmēģinājumprojekta rezultātiem. Kā jau minēts iepriekš, attiecīgi MK informatīvais ziņojums papildināts ar 32. punktu ar jaunu punktu par uzraudzības padomes pienākumiem.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37.5. apakšpunkts nebūtu papildināms ar atsauci uz ziņojuma 23.1.apakšpunktā minēto atbalstāmo darbību, paredzot tās īstenošanai avansa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38.3.apakšpunkts.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apraksta informatīvā ziņojuma 3.punktā nav saprotams, kāpēc tiek prognozēts izskatīšanas ilguma samazinājums par 6 dienām, ierosinām izvērstāk paskaidrot, kā tika iegūta šī prognoze.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 4.3.6. Rādītāju metodoloģijas aprakstā pie Nr. (ID)     r.4.3.6.rādītāja - Invaliditātes ekspertīzei patērētā laika samazinājums, ir sniegts detāls skaidrojums ar pieņēmumiem, kas veido minēto pamatojumu. Tādējādi LM ieskatā nav nepieciešams dublēt šo informāciju MK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III.nodaļu ar uzskaitījumu, kurām projekta darbībām un izmaksu pozīcijām tiks piemērotas vienkāršotās izmaksas. Kā arī pamatotu argumentāciju ar iemeslu nepiemērot kādai no izmaksu pozīcijām.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27. punkts, nosakot netiešo izmaksu nemainīgās likmes piemērošanu 15% apmērā no projekta personāla atlīdzības izmaksām. Attiecībā uz pārējām darbībām un izmaksām, kam piemēro vienkāršotās izmaksas, tas jau ir norādīts konkrētā MK informatīvā ziņojuma punktā, ja ir paredzēta vienkāršoto izmaksu piemērošana (skat., piemēram 25.2.2.apakšpunktu). Tāpat MK informatīvais ziņojums ir papildināts ar 31. punktu, kas paredz horizontālo vienkāršoto izmaksu metodiku piemērošanu, kad tās tiks izstrādātas. Pārējām darbībām un izmaksām šobrīd nav plānots piemērot vienkāršotās izmaksas, jo tās vai nu pēc būtības ir tādas, kurām grūti definēt, piemēram, vienu vienību vai arī trūkst datu avotu vienkāršoto izmaksu apmēra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26.3.apakšpunktu arī ar VI komandējuma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pie 26.3.apakšpunkta, tas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4.3.6.2.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2024.-2020.ieviešanas perioda praksi attiecībā uz ātrāk uzsakāmajiem specifiskajiem atbalsta mērķiem, lūdzam izvērtēt un nepieciešamības gadījumā informatīvo ziņojumu precizēt un atstāt tajā informāciju, kas attiecināma uz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līmeņa īstenošanas informāciju un aprakstu un svītrot informāciju, kas attiecināma uz horizontālo regulējumu, kas būtu nosakāma MK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informatīvajā ziņojumā iekļautā informācija ir nepieciešama plānotā projekta īstenošanas ietvaram. Attiecīgi punkti, kuri būtu svītrojami, netiek identificēti.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kā par horizontālā principa “Vienlīdzība, iekļaušana, nediskriminācija un pamattiesību ievērošana” koordinēšanu atbildīgās institūcijas priekšlikumu par HP VINP rādītājiem paredzēts uzkrāt datus par ekspertu konsultāciju skaitu.  Lūdzam izvērtēt un precizēt ziņojuma 38.4.1. apakšpunkta redakciju no jomas ekspertu skaita uz jomas ekspertu konsultāciju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informatīvā ziņojuma 38.4.1.apakšpunkts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uz 4.3.6.2. pasākumu ir attiecināms horizontālā principa “Vienlīdzība, iekļaušana, nediskriminācija un pamattiesību ievērošana” rādītājs (VINP06):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ar invaliditāti īpatsvars atbalsta saņēmēju vidū nav mazāks par personu ar invaliditāti īpatsvaru reģistrēto bezdarbnieku kopskaitā;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50+ vecuma personu īpatsvars atbalsta saņēmēju vidū nav mazāks par 50+ vecuma personu īpatsvaru reģistrēto bezdarbnieku kopskaitā;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Sieviešu īpatsvars atbalsta saņēmēju vidū ir līdzvērtīgs sieviešu īpatsvaram reģistrēto bezdarbnieku kopskaitā;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Etnisko minoritāšu pārstāvju īpatsvars atbalsta saņēmēju vidu nav mazāks par etnisko minoritāšu īpatsvaru reģistrēto bezdarbnieku kopskaitā,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un TM priekšlikumā par horizontālā principa “Vienlīdzība, iekļaušana, nediskriminācija un pamattiesību ievērošana”  specifisko atbalsta mērķu rādītājiem norādīts, ka rādītājs VINP06 attiecas uz SAM 4.3.6., kurā ietilpst 4.3.6.2.pasākums un tam ir noteikta tieša ietekme uz HP VINP.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minētias HP VINP rādītājs ir attiecināms uz 4.3.6.2.pasākumu, tad lūdzam atbilstoši papildināt informatīvā ziņojuma 38.4.apakšpunktu.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4.3.6.2.pasākuma mērķa grupa ir VDEĀVK ārsti, speciālisti, amatpersonas, atbalsta funkciju veicēji un citi darbinieki. Tādējādi uz šo pasākumu nav attiecināmi FM priekšlikumā izteiktie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rādītāji tiek noteikti  pasākumos, kur mērķa grupa ir bezdarbnieki.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 saskaņojamiem dokumentiem pievienot arī ziņojuma projekta 20.1.2. apakšpunktā minēto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22-TA-247 sadaļu “TA lietas dokumenti”, kurā kā IZ pielikums ir pievienoti plānotā projekta iesnieguma vērtēšanas kritēriji (skatāms kā viens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no kritērija Nr.1.1. svītrot  tā apakškritēriju Nr.1.3. "projekta iesniegumam ir pievienoti projektu iesniegumu atlases nolikumā noteiktie papildus pievienojamie pielikumi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Labklājības ministrija, uzaicinot iesniegt  plānoto projektu,  ir paredzējusi lūgt iesniegt arī papildu dokumentus, tad aicinām atbilstoši precizēt apakškritērija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informatīvo ziņojumu šajā posmā netiek gatavots atlases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apakšpunktu numerāciju, aizstājot “38.4.4.” ar “38.5.”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38.4.1.apakšpunkta otro daļu, ņemot vērā, ka iepriekš minētajā pukntā norādītais rādītājs precizēts uz “jomas ekspertu konsultāciju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38.4.1.apakšpunkts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w:t>
    </w:r>
    <w:r>
      <w:br/>
    </w:r>
    <w:r w:rsidR="00000000" w:rsidRPr="00000000" w:rsidDel="00000000">
      <w:rPr>
        <w:rtl w:val="0"/>
      </w:rPr>
      <w:t xml:space="preserve">31.03.2022. 10.21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w:t>
    </w:r>
    <w:r>
      <w:br/>
    </w:r>
    <w:r w:rsidR="00000000" w:rsidRPr="00000000" w:rsidDel="00000000">
      <w:rPr>
        <w:rtl w:val="0"/>
      </w:rPr>
      <w:t xml:space="preserve">31.03.2022. 10.21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Izziņa_22-TA-247.docx</dc:title>
</cp:coreProperties>
</file>

<file path=docProps/custom.xml><?xml version="1.0" encoding="utf-8"?>
<Properties xmlns="http://schemas.openxmlformats.org/officeDocument/2006/custom-properties" xmlns:vt="http://schemas.openxmlformats.org/officeDocument/2006/docPropsVTypes"/>
</file>