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25-TA-184: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26. novembra noteikumos Nr. 748 "Eiropas Savienības kohēzijas politikas programmas 2021.–2027. gadam 1.2.2. specifiskā atbalsta mērķa "Izmantot digitalizācijas priekšrocības uzņēmējdarbības attīstībai" 1.2.2.1. pasākuma "Atbalsts procesu digitalizācijai komercdarbībā"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(30.11.2024.)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27.</w:t>
            </w:r>
            <w:r w:rsidR="00000000" w:rsidRPr="00000000" w:rsidDel="00000000">
              <w:rPr>
                <w:vertAlign w:val="superscript"/>
                <w:rtl w:val="0"/>
              </w:rPr>
              <w:t xml:space="preserve">1</w:t>
            </w:r>
            <w:r w:rsidR="00000000" w:rsidRPr="00000000" w:rsidDel="00000000">
              <w:rPr>
                <w:rtl w:val="0"/>
              </w:rPr>
              <w:t xml:space="preserve"> punktā, 28.punktā paredzētos grozījumus, ar kuriem tiek papildinātas atbalstāmās darbības, aicinām anotācijā iekļaut informāciju par šo izmaiņu ietekmi uz SAM mērķa un rādītāju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iekļautās jaunās atbalstāmās darbības ir tiešā mērā saistītas ar 1.2.2. specifiskā atbalsta mērķa "Izmantot digitalizācijas priekšrocības uzņēmējdarbības attīstībai" sasniegšanu. Plānots, ka ieviešot minēto atbalstu, tas sniegs ieguldījumu vismaz 10% apmērā no kopējā pasākumā noteiktā rādītāju sasniegšanas.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noteikumu projekta anotācijā attiecībā uz izmaiņām finansējumā ietvert informāciju, norādot, kur tiek pārvirzīts elastības finansējums, </w:t>
            </w:r>
            <w:r w:rsidR="00000000" w:rsidRPr="00000000" w:rsidDel="00000000">
              <w:rPr>
                <w:rtl w:val="0"/>
              </w:rPr>
              <w:t xml:space="preserve">un aktualizētus intervences kodus izdevumu pozīcijām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elastības finansējums tiek pārvirzīts, pamatojoties uz valsts noteiktajām prioritātēm – kiberdrošības aktivitātēm (lēmums pieņemts ar Ministru prezidenta 2023.gada 23.decembra rīkojumu Nr.2023/1.2.1.-335 “Par Eiropas Savienības fondu tematisko komiteju” izveidotās Eiropas Savienības fondu ministru tematiskās komitejas 2024.gada 31.oktobra sēdē). Papildus informācijas, uz kuru tieši atbalsta programmu Ekonomikas ministrijai nav.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aktualizētajiem intevences kodiem un summām.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 Finansējuma saņēmējs, sniedzot atbalstu, nodrošina šādu rādītāju 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49.</w:t>
            </w:r>
            <w:r w:rsidR="00000000" w:rsidRPr="00000000" w:rsidDel="00000000">
              <w:rPr>
                <w:vertAlign w:val="superscript"/>
                <w:rtl w:val="0"/>
              </w:rPr>
              <w:t xml:space="preserve">1</w:t>
            </w:r>
            <w:r w:rsidR="00000000" w:rsidRPr="00000000" w:rsidDel="00000000">
              <w:rPr>
                <w:rtl w:val="0"/>
              </w:rPr>
              <w:t xml:space="preserve"> punktā ir iekļauti nacionālie rādītāji. Gadījumā, ja tie ir nacionālie rādītāji, lūdzam atbilstoši precizēt minētā punkta redakciju un sniegt informāciju par to uzraudzību atbildīgo institūciju, kā arī sekām, kuras iestājas, ja tie netiks sasniegti.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 un papildināta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šī rādītāja sadalījuma sasniegšanu ir atbildīga LIAA.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 Finansējuma saņēmējs, sniedzot atbalstu, nodrošina </w:t>
            </w:r>
            <w:r w:rsidR="00000000" w:rsidRPr="00000000" w:rsidDel="00000000">
              <w:rPr>
                <w:rtl w:val="0"/>
              </w:rPr>
              <w:t xml:space="preserve">11.1.</w:t>
            </w:r>
            <w:r w:rsidR="00000000" w:rsidRPr="00000000" w:rsidDel="00000000">
              <w:rPr>
                <w:rtl w:val="0"/>
              </w:rPr>
              <w:t xml:space="preserve"> apakšpunktā noteiktā rādītāja šādu sadalījumu: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Informācijas tehnoloģiju klasteris" - 06.03.2025.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gala labuma guvējiem tiktu attiecinātas izmaksas investīciju projekta ietvaros un palīdzētu veikt mērķtiecīgas un pārdomātas investīcijas, kuras ir efektīvas un sniedz reālu ieguldījumu digitālajā transformācijā, gala labuma guvējam pie EDIC būs nepieciešams veikt digitālā brieduma testu (sākotnējo un otrreizējo). Digitālā brieduma tests paredzēts kā standartizēts digitalizēts pakalpojums tiešsaistē aizpildāma testa veidā, kuru gala labuma guvēji varēs aizpildīt patstāvīgi bez EDIC pārstāvju iesaistes, izmantojot vadlīnijas testa aizpildīšanai. Sākotnējo digitālā brieduma testu gala labuma guvējam ir jāveic pirms atbalsta pieteikuma iesniegšanas. Gala labuma guvējam, lai pārliecinātos par veikto investīciju efektivitāti ir jāveic otrreizējais digitālā brieduma tests pēc atbalsta saņemšanas vai projekta īstenošanas, kurā tiek uzrādīts progress par vismaz vienu procentu.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 brieduma testa obligāta piemērošana ir nepieciešama, lai iegūtu datus un tos apkopotā veidā izmantotu kā statistiku par Latvijas uzņēmējdarbības digitālo tehnoloģiju lietojamību, nosakot digitālās transformācijas līmeni nacionālā un Eiropas mērogā, iegūtu kvalitatīvu informāciju par Digitālās dekādes mērķu un DESI indeksa sasniegšanas progresu.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posmā no 2023.gada ar investīciju 2.2.1.2.i  un 2.2.1.1.i. atbalstu ir izveidoti ērti lietojami, ar citām sistēmām integrējami rīki testa aizpildīšanai kā arī datu analītikai; testu  ir aizpildījuši vairāk nekā 7000 komersanti, kas ne tikai ļauj veikt kvalitatīvu progresa un atbalsta programmu ietekmes analīzi, bet arī nodrošina iepriekšējo investīciju jēgpilnu turpmāku pielietojumu.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EDIC digitālā brieduma testa aizpildīšana nekavē atbalsta saņemšanu un nepalielina birokrātisko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izvērtējusi Latvijas Informācijas tehnoloģiju klastera priekšlikumu. Sazinoties ar Latvijas Informācijas tehnoloģiju klasteri, Ekonomikas ministrija ir vienojusies, ka 27. martā tiks organizēta sanāksme par priekšlikumā minēto testu jautājumiem un to iznākumu pielietojumu statistikā. Attiecīgi pēc šīs tikšanās tiks izvērtēts, vai atbalsta programmā pie gala labuma guvēju pieteikumiem, kā arī noslēguma pārskatiem pievienot digitālā brieduma testa veikšanu.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1.1. Sadaļas apakšsadaļu "Apraksts" ar informāciju, ka noteikumu projekts paredz papildināt labuma guvēju loku ar biedrībām un nodibinājumiem.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papildinot aprakstu.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- 05.03.2025.)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1.3.sadaļas teksta 8.punktā norādīto, svītrojot sekojošu tekstu: "Kopā projektā tiks veidotas visas jaunas amata vietas, jo tās, ko bija plānots pārņemt no Atveseļošanās fonda, attiecīgi tās 2026. gada 30. maijā beidz pastāvēt un tāpēc arī uzskatāmas kā jaunas.", to aizstājot ar "Kopā projektā tiks veidotas jaunas amata vietas uz projekta ieviešanas laiku.".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minētās amatu klasifikācijas ir konceptuālas, tās var tikt precizētas amatu klasifikāciju saskaņošanā ar Valsts kanceleju kā to nosaka MK 26.04.2022. noteikumi Nr. 262 "Valsts un pašvaldību institūciju amatu katalogs, amatu klasifikācija un amatu apraksta izstrādāšanas kārtība".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teikums.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piekto sadaļu "Vienkāršoto izmaksu metodikas izstrādes svītrošana", ka tiek svītrots MK noteikumu Nr.748 1.7. apakšpunkts, jo noteikumu punkts tiek atstāts iepriekšējā redakcijā un noteikumi paredz vienoto likmi projekta vadības un īstenošanas personāla izmaksām.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sniegtajai informācijai sadarbības iestāde ir uzsākusi 1.2.2.1. pasākuma projekta iesnieguma atlases dokumentācijas izstrādi. Vēršam uzmanību, ka atlases dokumentācija, t.sk. nolikums un tā pielikumi jau ir apstiprināti. Lūdzam atbilstoši precizēt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apakšsadaļā "Risinājuma apraksts" norādīts, ka sadarbības iestāde ir uzsākusi projekta iesnieguma atlases dokumentācijas izstrādi, un atbilstoši atlases laika grafikam projekta iesniegšana paredzēta līdz 2025. gada 30. aprīlim, un ka projekta atlases nolikumu šis Ministru kabineta 2024. gada 26. novembra noteikumu Nr. 748 "Eiropas Savienības kohēzijas politikas programmas 2021.–2027. gadam 1.2.2. specifiskā atbalsta mērķa "Izmantot digitalizācijas priekšrocības uzņēmējdarbības attīstībai" 1.2.2.1. pasākuma "Atbalsts procesu digitalizācijai komercdarbībā" īstenošanas noteikumi" (turpmāk - noteikumi Nr. 748) grozījumu projekts neietekmēs. Kaut arī grozījumiem nav paredzēta ietekme uz projekta atlases nolikumu, lūdzam papildināt anotāciju ar informāciju, vai Latvijas Investīciju un attīstības aģentūra kā plānotais projekta iesniedzējs tiks informēts par ierosinātajiem grozījumiem, lai projekta iesnieguma iesniegšanas laikā projekta iesniedzējam būtu viennozīmīga izpratne spēkā esošajiem un plānotajiem pasākuma īstenošanu regulējošajiem Ministru kabineta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š.g. 7. februārī ir uzsākusi projekta iesnieguma atlasi. Paredzēts, ka aģentūra projektu var iesniegt līdz š.g. 30. aprīlim. Ekonomikas ministrija ir informējusi aģentūru par MK noteikumu projekta virzīšanu un tajā iekļauto saturu, attiecīgi projekta iesniegums tiks veidots pamatojoties uz šo MK noteikumu projektu. Ja MK noteikumu projekta saskaņošanas gaitā tiks secināts, ka projekta iesnieguma atlases nolikums tiks ietekmēts, Atbildīgā iestāde lūgs sadarbības iestādi veikt nolikuma grozījumus, kā arī informēs projekta iesniedzēju par to.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papildināt pamatojumu attiecībā uz vienkāršoto izmaksu svītrošanu. No esošā pamatojuma nav saprotams, kāpēc ar grozījumiem izslēdzot nefinanšu atbalstu un iekļaujot mākslīgā intelekta risinājuma ieviešanu, vienkāršoto izmaksu metodika kļuvusi nederīga vai tās piemērošana neiespējama.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Regula Nr. 2021/1060 nenosaka obligātu prasību kaskādes projektos ieviest vienkāršoto izmaksu piemērošanu.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anotācijā ir sniegts skaidrojums, ka Ekonomikas ministrija kā atbildīgā iestāde ir izvērtējusi 1.2.2.1. pasākumam izstrādāt vienkāršoto izmaksu piemērošanas metodiku, piemērojot budžeta projekta metodi, bet, ņemot vērā, lai iegūtu pamatojošo informāciju </w:t>
            </w:r>
            <w:r w:rsidR="00000000" w:rsidRPr="00000000" w:rsidDel="00000000">
              <w:rPr>
                <w:u w:val="single"/>
                <w:rtl w:val="0"/>
              </w:rPr>
              <w:t xml:space="preserve">nav vēsturisko datu no Eiropas Savienības 2014. - 2020. gada plānošanas perioda Darbības programmas "Izaugsme un nodarbinātība" Ekonomikas ministrijas ieviestajiem specifiskā atbalsta mērķu pasākumiem</w:t>
            </w:r>
            <w:r w:rsidR="00000000" w:rsidRPr="00000000" w:rsidDel="00000000">
              <w:rPr>
                <w:rtl w:val="0"/>
              </w:rPr>
              <w:t xml:space="preserve">, kā arī </w:t>
            </w:r>
            <w:r w:rsidR="00000000" w:rsidRPr="00000000" w:rsidDel="00000000">
              <w:rPr>
                <w:u w:val="single"/>
                <w:rtl w:val="0"/>
              </w:rPr>
              <w:t xml:space="preserve">nav viennozīmīgi nosakāmas summas pie risinājumu ieviešanas un izstrādes</w:t>
            </w:r>
            <w:r w:rsidR="00000000" w:rsidRPr="00000000" w:rsidDel="00000000">
              <w:rPr>
                <w:rtl w:val="0"/>
              </w:rPr>
              <w:t xml:space="preserve">, Atbildīgā iestāde secina, ka tas ir </w:t>
            </w:r>
            <w:r w:rsidR="00000000" w:rsidRPr="00000000" w:rsidDel="00000000">
              <w:rPr>
                <w:u w:val="single"/>
                <w:rtl w:val="0"/>
              </w:rPr>
              <w:t xml:space="preserve">ievērojams administratīvais slogs vienotās likmes izstrādātajiem ar nesamērīgi zemu pienesumu projekta īstenošanā</w:t>
            </w:r>
            <w:r w:rsidR="00000000" w:rsidRPr="00000000" w:rsidDel="00000000">
              <w:rPr>
                <w:rtl w:val="0"/>
              </w:rPr>
              <w:t xml:space="preserve">, kas neatspēkotu pēcāk esošo administratīvo slogu.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vienkāršotās izmaksas projektā tiek piemērotas ar vienoto likmi personāla izmaksām.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1.3.sadaļas apakšsadaļas "Pašreizējā situācija" pirmo teikumu papildināt ar pilnu ziņojuma nosaukumu, lai ir viennozīmīgi skaidrs minētais informācijas avots.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anotācijā norādīto pamatojumu par noteikumu 44.1. apakšpunktā minētā izņēmuma (nepiemērojot ES fondu 2021.-2027.gada plānošanas perioda vadības likuma 22.panta pirmās daļas 5.punkta nosacījumus) iekļaušanu, proti, vai Sodu reģistrā nav iespējams pārbaudīt informāciju par personu/personām, kas pārstāv projektu iesniedzēju, pēc norādītajiem kritērijiem, un kā sadarbības iestāde līdz šim šo nosacījumu izpildi praksē ir pārbaudījusi.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ir skaidrojusi, ka sadarbības iestāde šādus lēmumus, ja tādi tiktu pieņemti publicētu savā tīmekļvietnē.  Šobrīd tāds nav nevienam pieņemts. Sadarbības iestāde komunikācijā nav pieminējusi, ka iestājoties šādam lēmumam, tas būtu pieejams Sodu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anotācija tiek papildināta ar nosacījumu, ka.aģentūrai šo 5.punktu ir jāpārbauda sadarbības iestādes tīmekļa vietnē.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- 05.03.2025.)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1.3.sadaļā ir norāde par jaunu amata vietu izveidi, lūdzam attiecīgi aizpildīt anotācijas 3.sadaļas 7.punktu.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3.sadaļas 7.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punktu “Cita informāciju” papildināt ar informāciju par elastības finansējuma samazinājuma apmēru un iemeslu, ka arī norādīt, ka minētais samazinājums neietekmē 1.2.2.1. pasākuma īstenošanai pieejamo finansējuma apmēru. Turklāt lūdzam norādīt, ka noteikumu projektā paredzētās izmaiņas, tajā skaitā gala labuma guvēju loka paplašināšana un atbalsta sniegšana mākslīgā intelekta risinājuma ieviešanai, tiks nodrošinātas 1.2.2.1. pasākuma īstenošanai plānotā finansējuma ietvaros. Vienlaikus aicinām izvērtēt šobrīd paredzēto valsts budžeta līdzfinansējuma apmēru, ņemot vērā, ka noņemot elastības finansējumu valsts budžeta daļai būtu jābūt 3 488 690 euro nevis 3 488 689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noteikumu projektu tiek noteikts, ka 1.2.2.1. pasākumam tiek noņemts elastības finansējums 4 355 304 EUR apmērā. Minētais elastības finansējuma samazinājums neietekmēs 1.2.2.1. pasākuma īstenošanai pieejamo finansējumu. Līdz ar to 1.2.2.1. pasākuma ietvaros plānotais kopējais attiecināmais finansējums ir 23 257 923 euro, tai skaitā Eiropas Reģionālās attīstības fonda finansējums 19 769 233 euro un valsts budžeta līdzfinansējums 3 488 690 euro. Provizoriskais plānotā pieejamā finansējuma izlietojums pa gadiem paliek nemainīgs.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paredzētās izmaiņas, tajā skaitā gala labuma guvēju loka paplašināšana un atbalsta sniegšana mākslīgā intelekta risinājuma ieviešanai, tiks nodrošinātas 1.2.2.1. pasākuma īstenošanai plānotā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- 05.03.2025.)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ir pretrunīga informācija – no vienas puses pie problēmas apraksta ir teikts, ka ir notikušas Ekonomikas ministrijas sarunas ar mākslīgā intelekta nozares pārstāvjiem, bet no otras puses – 6.1. sadaļā ir norādīts, ka neviena cita institūcija vai sadarbības partneri nav bijuši iesaistīti. Nav korekti aizpildītas anotācijas 6.2. un 6.3. sadaļas – ja ir bijusi izsludināta sabiedrības līdzdalība ir jāpievieno atbilstošā saite uz sabiedrības līdzdalības rezultātiem un atbilstoši  Valsts kancelejas 2021.gadā izdotajām Vadlīnijām tiesību akta projekta sākotnējās ietekmes novērtēšanai un novērtējuma ziņojuma sagatavošanai vienotajā tiesību aktu izstrādes un saskaņošanas portālā ir jāsniedz informācija par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6.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vienkāršoto izmaksu piemērošanas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atstāt minēto punktu, jo noteikumi paredz piemērot vienoto likmi personāla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atgriezts sākotnējā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gala labuma guvējs – sīkais (mikro), mazais un vidējais komersants (tai skaitā juridiskas personas ārvalstu filiāle, zemnieku saimniecība, kooperatīvā sabiedrība), kas atbilst sīkā (mikro), mazā vai vidējā saimnieciskās darbības subjekta statusam saskaņā ar Eiropas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(turpmāk - Regula Nr. 651/2014), 2. panta 2. punktu, mazas vidējas kapitalizācijas sabiedrības saskaņā ar Eiropas Parlamenta un Padomes 2015. gada 25. jūnija Regulas (ES) Nr. </w:t>
            </w:r>
            <w:r w:rsidR="00000000" w:rsidRPr="00000000" w:rsidDel="00000000">
              <w:rPr>
                <w:rtl w:val="0"/>
              </w:rPr>
              <w:t xml:space="preserve">2015/1017</w:t>
            </w:r>
            <w:r w:rsidR="00000000" w:rsidRPr="00000000" w:rsidDel="00000000">
              <w:rPr>
                <w:rtl w:val="0"/>
              </w:rPr>
              <w:t xml:space="preserve"> par Eiropas Stratēģisko investīciju fondu, Eiropas Investīciju konsultāciju centru un Eiropas Investīciju projektu portālu, ar ko groza Regulas (ES) Nr. 1291/2013 un (ES) Nr. 1316/2013 – Eiropas Stratēģisko investīciju fonds (turpmāk – Regula Nr. </w:t>
            </w:r>
            <w:r w:rsidR="00000000" w:rsidRPr="00000000" w:rsidDel="00000000">
              <w:rPr>
                <w:rtl w:val="0"/>
              </w:rPr>
              <w:t xml:space="preserve">2015/1017</w:t>
            </w:r>
            <w:r w:rsidR="00000000" w:rsidRPr="00000000" w:rsidDel="00000000">
              <w:rPr>
                <w:rtl w:val="0"/>
              </w:rPr>
              <w:t xml:space="preserve">), 2. panta 6. punktu, kā arī vidējas kapitalizācijas sabiedrības saskaņā ar Regulas Nr. </w:t>
            </w:r>
            <w:r w:rsidR="00000000" w:rsidRPr="00000000" w:rsidDel="00000000">
              <w:rPr>
                <w:rtl w:val="0"/>
              </w:rPr>
              <w:t xml:space="preserve">2015/1017</w:t>
            </w:r>
            <w:r w:rsidR="00000000" w:rsidRPr="00000000" w:rsidDel="00000000">
              <w:rPr>
                <w:rtl w:val="0"/>
              </w:rPr>
              <w:t xml:space="preserve"> 2. panta 7. punktu un Biedrību un nodibinājumu reģistrā reģistrētas biedrības un nodibinājumi, kas veic saimniecisko darbību un kas atbilst sīkā (mikro), mazā vai vidējā saimnieciskās darbības subjekta statusam saskaņā ar Regulas Nr. 651/2014 2. panta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EM uzmanību uz MK noteikumu  2.1.apakšpunkta neatbilstību EM  pieteiktajiem grozījumiem Kohēzijas politikas programmā (2021-2027), kuras 91.paragrāfs paredz, ka  biedrības un nodibinājumi atbalstu komercializācijai var saņemt izpildot nosacījumu par to, ka tie veic saimniecisko darbību </w:t>
            </w:r>
            <w:r w:rsidR="00000000" w:rsidRPr="00000000" w:rsidDel="00000000">
              <w:rPr>
                <w:u w:val="single"/>
                <w:rtl w:val="0"/>
              </w:rPr>
              <w:t xml:space="preserve">un apvieno vismaz 3 komersantus, tai skaitā, sociālos uzņēmumus, kas īsteno sabiedrībai nozīmīgus un sociālās nevienlīdzības mazināšanas pakalpojumus. </w:t>
            </w:r>
            <w:r w:rsidR="00000000" w:rsidRPr="00000000" w:rsidDel="00000000">
              <w:rPr>
                <w:rtl w:val="0"/>
              </w:rPr>
              <w:t xml:space="preserve">Lūdzam veikt precizējumu šajā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2.1. apakšpunkts.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gala labuma guvējs – sīkais (mikro), mazais un vidējais komersants (tai skaitā juridiskas personas ārvalstu filiāle, zemnieku saimniecība, kooperatīvā sabiedrība), kas atbilst sīkā (mikro), mazā vai vidējā saimnieciskās darbības subjekta statusam saskaņā ar Eiropas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(turpmāk - Regula Nr. 651/2014), 2. panta 2. punktu, mazas vidējas kapitalizācijas sabiedrības saskaņā ar Eiropas Parlamenta un Padomes 2015. gada 25. jūnija Regulas (ES) Nr. </w:t>
            </w:r>
            <w:r w:rsidR="00000000" w:rsidRPr="00000000" w:rsidDel="00000000">
              <w:rPr>
                <w:rtl w:val="0"/>
              </w:rPr>
              <w:t xml:space="preserve">2015/1017</w:t>
            </w:r>
            <w:r w:rsidR="00000000" w:rsidRPr="00000000" w:rsidDel="00000000">
              <w:rPr>
                <w:rtl w:val="0"/>
              </w:rPr>
              <w:t xml:space="preserve"> par Eiropas Stratēģisko investīciju fondu, Eiropas Investīciju konsultāciju centru un Eiropas Investīciju projektu portālu, ar ko groza Regulas (ES) Nr. 1291/2013 un (ES) Nr. 1316/2013 – Eiropas Stratēģisko investīciju fonds (turpmāk – Regula Nr. </w:t>
            </w:r>
            <w:r w:rsidR="00000000" w:rsidRPr="00000000" w:rsidDel="00000000">
              <w:rPr>
                <w:rtl w:val="0"/>
              </w:rPr>
              <w:t xml:space="preserve">2015/1017</w:t>
            </w:r>
            <w:r w:rsidR="00000000" w:rsidRPr="00000000" w:rsidDel="00000000">
              <w:rPr>
                <w:rtl w:val="0"/>
              </w:rPr>
              <w:t xml:space="preserve">), 2. panta 6. punktu, kā arī vidējas kapitalizācijas sabiedrības saskaņā ar Regulas Nr. </w:t>
            </w:r>
            <w:r w:rsidR="00000000" w:rsidRPr="00000000" w:rsidDel="00000000">
              <w:rPr>
                <w:rtl w:val="0"/>
              </w:rPr>
              <w:t xml:space="preserve">2015/1017</w:t>
            </w:r>
            <w:r w:rsidR="00000000" w:rsidRPr="00000000" w:rsidDel="00000000">
              <w:rPr>
                <w:rtl w:val="0"/>
              </w:rPr>
              <w:t xml:space="preserve"> 2. panta 7. punktu un Biedrību un nodibinājumu reģistrā reģistrētas biedrības un nodibinājumi, kas veic saimniecisko darbību un apvieno vismaz 3 komersantus, tai skaitā, sociālos uzņēmumus, kas īsteno sabiedrībai nozīmīgus un sociālās nevienlīdzības mazināšanas pakalpojumus,</w:t>
            </w:r>
            <w:r w:rsidR="00000000" w:rsidRPr="00000000" w:rsidDel="00000000">
              <w:rPr>
                <w:b w:val="1"/>
                <w:rtl w:val="0"/>
              </w:rPr>
              <w:t xml:space="preserve"> </w:t>
            </w:r>
            <w:r w:rsidR="00000000" w:rsidRPr="00000000" w:rsidDel="00000000">
              <w:rPr>
                <w:rtl w:val="0"/>
              </w:rPr>
              <w:t xml:space="preserve"> un kas atbilst sīkā (mikro), mazā vai vidējā saimnieciskās darbības subjekta statusam saskaņā ar Regulas Nr. 651/2014 2. panta 2.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plānotais kopējais attiecināmais finansējums ir 23 257 923 euro, tai skaitā Eiropas Reģionālās attīstības fonda finansējums 19 769 234 euro un valsts budžeta līdzfinansējums 3 488 689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6.punktā precizēt pasākuma ietvaros plānotā finansējuma sadalījumu pa avotiem, ievērojot, ka valsts budžeta daļa bez elastības finansējuma ir 3 488 690 euro nevis 3 488 689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plānotais kopējais attiecināmais finansējums ir 23 257 924 euro, tai skaitā Eiropas Reģionālās attīstības fonda finansējums 19 769 234 euro un valsts budžeta līdzfinansējums 3 488 690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publisko atbalstu papildinošās privātās investīcijas (tai skaitā granti, finanšu instrumenti) – 2 870 869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Kohēzijas programmai 2021.-2027. gadam 11.3. punktā iekļautais rādītājs ir rezultāta rādītājs. Lūdzam atbilstoši precizēt MK noteikumu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rezultāta rādītājs: publisko atbalstu papildinošās privātās investīcijas (tai skaitā granti, finanšu instrumenti) – 2 870 869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licences iegādes vai abonēšanas un sertificēšanas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noteikumu Nr. 748 plānoto 29.2. apakšpunktu, jo 29.1. apakšpunktā jau noteiktas licences iegādes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analogi izvērtēt arī plānotā 29.</w:t>
            </w:r>
            <w:r w:rsidR="00000000" w:rsidRPr="00000000" w:rsidDel="00000000">
              <w:rPr>
                <w:vertAlign w:val="superscript"/>
                <w:rtl w:val="0"/>
              </w:rPr>
              <w:t xml:space="preserve">1</w:t>
            </w:r>
            <w:r w:rsidR="00000000" w:rsidRPr="00000000" w:rsidDel="00000000">
              <w:rPr>
                <w:rtl w:val="0"/>
              </w:rPr>
              <w:t xml:space="preserve">2. apakšpunkta redakciju, jo plānotajā 29.</w:t>
            </w:r>
            <w:r w:rsidR="00000000" w:rsidRPr="00000000" w:rsidDel="00000000">
              <w:rPr>
                <w:vertAlign w:val="superscript"/>
                <w:rtl w:val="0"/>
              </w:rPr>
              <w:t xml:space="preserve">1</w:t>
            </w:r>
            <w:r w:rsidR="00000000" w:rsidRPr="00000000" w:rsidDel="00000000">
              <w:rPr>
                <w:rtl w:val="0"/>
              </w:rPr>
              <w:t xml:space="preserve">1. apakšpunktā arī jau noteiktas licences iegādes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licences iegādes vai abonēšanas un sertificēšanas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4. mākslīgā intelekta risinājuma licences iegādes vai abonēšanas un sertificēšanas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noteikumu Nr. 748 plānoto 29.</w:t>
            </w:r>
            <w:r w:rsidR="00000000" w:rsidRPr="00000000" w:rsidDel="00000000">
              <w:rPr>
                <w:vertAlign w:val="superscript"/>
                <w:rtl w:val="0"/>
              </w:rPr>
              <w:t xml:space="preserve">1</w:t>
            </w:r>
            <w:r w:rsidR="00000000" w:rsidRPr="00000000" w:rsidDel="00000000">
              <w:rPr>
                <w:rtl w:val="0"/>
              </w:rPr>
              <w:t xml:space="preserve">4.apakšpunktu, jo tas daļēji dublē plānoto 29.</w:t>
            </w:r>
            <w:r w:rsidR="00000000" w:rsidRPr="00000000" w:rsidDel="00000000">
              <w:rPr>
                <w:vertAlign w:val="superscript"/>
                <w:rtl w:val="0"/>
              </w:rPr>
              <w:t xml:space="preserve">1</w:t>
            </w:r>
            <w:r w:rsidR="00000000" w:rsidRPr="00000000" w:rsidDel="00000000">
              <w:rPr>
                <w:rtl w:val="0"/>
              </w:rPr>
              <w:t xml:space="preserve">3.apakšpunktu.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4. mākslīgā intelekta risinājuma licences iegādes vai abonēšanas un sertificēšanas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Šajos noteikumos minētās izmaksas finansējuma saņēmējam ir attiecināmas no projekta iesnieguma iesniegšanas dienas. Šajos noteikumos minētās izmaksas gala labuma guvējam ir attiecināmas no pieteikuma iesniegšanas dienas Finansējuma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informāciju, kāda būs rīcība, ja gala labuma guvēja pieteikums tiks iesniegts, bet netiks atbalstīts. Vai šajā gadījumā risku uzņemas pats labuma guvējs, ņemot vērā, ka izmaksas attiecināmas no pieteikuma iesniegšanas brīža?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 ka noteikumos minētās izmaksas gala labuma guvējam ir attiecināmas no pieteikuma iesniegšanas dienas Finansējuma saņēmējam. Ja gala labuma guvējs iesniedz pieteikumu, bet tas netiek atbalstīts, gala labuma guvējs uzņemas risku par veiktajām izmaksām, uzsākot savu projektu pirms pieteikuma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Šajos noteikumos minētās izmaksas finansējuma saņēmējam ir attiecināmas no projekta iesnieguma iesniegšanas dienas. Šajos noteikumos minētās izmaksas gala labuma guvējam ir attiecināmas no pieteikuma iesniegšanas dienas Finansējuma saņēmējam.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25-TA-184</w:t>
    </w:r>
    <w:r>
      <w:br/>
    </w:r>
    <w:r w:rsidR="00000000" w:rsidRPr="00000000" w:rsidDel="00000000">
      <w:rPr>
        <w:rtl w:val="0"/>
      </w:rPr>
      <w:t xml:space="preserve">10.03.2025. 09.56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25-TA-184</w:t>
    </w:r>
    <w:r>
      <w:br/>
    </w:r>
    <w:r w:rsidR="00000000" w:rsidRPr="00000000" w:rsidDel="00000000">
      <w:rPr>
        <w:rtl w:val="0"/>
      </w:rPr>
      <w:t xml:space="preserve">10.03.2025. 09.56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Izziņa_25-TA-184.docx</dc:title>
</cp:coreProperties>
</file>

<file path=docProps/custom.xml><?xml version="1.0" encoding="utf-8"?>
<Properties xmlns="http://schemas.openxmlformats.org/officeDocument/2006/custom-properties" xmlns:vt="http://schemas.openxmlformats.org/officeDocument/2006/docPropsVTypes"/>
</file>