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“Mežerlavas” Limbažu pagastā, Limbažu novadā, daļas pirkšanu valsts reģionālā autoceļa P53 “Duči–Limbaži”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28.11.2025. 21:13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papildināt anotāciju, norādot, ka nekustamā īpašuma atsavināmā daļa atrodas biosfēras rezervāta ainavu aizsardzības zonas teritorijā, tādējādi pēc atsavināšanas attiecībā uz to turpmāko izmantošanu būs ievērojami Ministru kabineta 2011. gada 19. aprīļa noteikumos Nr. 303 "Ziemeļvidzemes biosfēras rezervāta individuālie aizsardzības un izmantošanas noteikumi" noteiktie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Anotācijas 1.3. punkta sadaļā </w:t>
            </w:r>
            <w:r w:rsidR="00000000" w:rsidRPr="00000000" w:rsidDel="00000000">
              <w:rPr>
                <w:b w:val="1"/>
                <w:rtl w:val="0"/>
              </w:rPr>
              <w:t xml:space="preserve">“Problēmas apraksts”</w:t>
            </w:r>
            <w:r w:rsidR="00000000" w:rsidRPr="00000000" w:rsidDel="00000000">
              <w:rPr>
                <w:rtl w:val="0"/>
              </w:rPr>
              <w:t xml:space="preserve"> ir nepieciešams ietvert norādi uz attiecīgajām tiesību normām, kas noteic ierobežojumus attiecībā uz īpaši aizsargājamo dabas teritoriju izmantošanu.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25-TA-2828</w:t>
    </w:r>
    <w:r>
      <w:br/>
    </w:r>
    <w:r w:rsidR="00000000" w:rsidRPr="00000000" w:rsidDel="00000000">
      <w:rPr>
        <w:rtl w:val="0"/>
      </w:rPr>
      <w:t xml:space="preserve">18.12.2025. 13.59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25-TA-2828</w:t>
    </w:r>
    <w:r>
      <w:br/>
    </w:r>
    <w:r w:rsidR="00000000" w:rsidRPr="00000000" w:rsidDel="00000000">
      <w:rPr>
        <w:rtl w:val="0"/>
      </w:rPr>
      <w:t xml:space="preserve">18.12.2025. 13.59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Izziņa_25-TA-2828.docx</dc:title>
</cp:coreProperties>
</file>

<file path=docProps/custom.xml><?xml version="1.0" encoding="utf-8"?>
<Properties xmlns="http://schemas.openxmlformats.org/officeDocument/2006/custom-properties" xmlns:vt="http://schemas.openxmlformats.org/officeDocument/2006/docPropsVTypes"/>
</file>