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(20.06.2025.)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06.02.2026. 11:23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pirmo un otro atlases kārtu īsteno līdz 2027. gada 31. decembrim, sasniedzot iznākuma rādītāju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54 750 hektāri (pirmajā atlases kārtā – 21 308 hektāri, otrajā atlases kārtā – 33 442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pirmo un otro atlases kārtu īsteno līdz 2027. gada 31. decembrim, sasniedzot iznākuma rādītāju – Natura 2000 teritoriju platību, uz kuru attiecas aizsardzības, atjaunošanas </w:t>
            </w:r>
            <w:r w:rsidR="00000000" w:rsidRPr="00000000" w:rsidDel="00000000">
              <w:rPr>
                <w:b w:val="1"/>
                <w:u w:val="single"/>
                <w:rtl w:val="0"/>
              </w:rPr>
              <w:t xml:space="preserve">un antropogēnās slodzes samazināšanas</w:t>
            </w:r>
            <w:r w:rsidR="00000000" w:rsidRPr="00000000" w:rsidDel="00000000">
              <w:rPr>
                <w:rtl w:val="0"/>
              </w:rPr>
              <w:t xml:space="preserve"> pasākumi, – 22 500 hektāri (pirmajā atlases kārtā – 11 250 hektāri, otrajā atlases kārtā – 11 250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iznākuma rādītāja nosaukums ir Eiropas Komisijas noteikts, tas norādīts ES kohēzijas politikas programmā 2021. - 2027. gadam un specifiskā atbalsta mērķa rādītāju metodoloģijas aprakstā un nav precizējams. Atbilstoši Ministru kabineta 2024. gada 26. marta noteikumu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anotācijai rādītāju aprēķina, ņemot vērā noteiktās aizsargājamās teritorijas funkcionālās zonas - rādītājā ieskaita stingrā režīma, regulējamā režīma un dabas liegumu zonas vai visu īpaši aizsargājamo dabas teritoriju, ja neviena no iepriekš minētajām zonām īpaši aizsargājamā dabas teritorijā nav noteikta.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pirmo un otro atlases kārtu īsteno līdz 2027. gada 31. decembrim, sasniedzot iznākuma rādītāju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49 900 hektāri (pirmajā atlases kārtā – 32 900 hektāri, otrajā atlases kārtā – 17 000 hektāri).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iznākuma rādītāja vērtībā ieskaita arī īpaši aizsargājamās teritorijas platību, kurai ir izstrādāts dabas aizsardzības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 punktā minētā iznākuma rādītāja vērtībā ieskaita arī īpaši aizsargājamās teritorijas platību,  kurai ir izstrādāts dabas aizsardzības plāns v</w:t>
            </w:r>
            <w:r w:rsidR="00000000" w:rsidRPr="00000000" w:rsidDel="00000000">
              <w:rPr>
                <w:b w:val="1"/>
                <w:u w:val="single"/>
                <w:rtl w:val="0"/>
              </w:rPr>
              <w:t xml:space="preserve">ai arī izstrādātajā dabas aizsardzības plānā norādītās pilsētvidē esošās dabas teritoriju platības antropogēnās slodzes samazināšanai.”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Ministru kabineta 2024. gada 26. marta noteikumu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anotācijai rādītāju aprēķina, ņemot vērā noteiktās aizsargājamās teritorijas funkcionālās zonas - rādītājā ieskaita stingrā režīma, regulējamā režīma un dabas liegumu zonas vai visu īpaši aizsargājamo dabas teritoriju, ja neviena no iepriekš minētajām zonām īpaši aizsargājamā dabas teritorijā nav noteikta. Šobrīd notiek visu projektu īstenošana un nav pamatoti mainīt rādītāja aprēķina un uzskaites pieeju, kā arī nesaskatām pamatojumu šādu izmaiņu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iznākuma rādītāja vērtībā ieskaita arī īpaši aizsargājamās teritorijas platību, kurai ir izstrādāts dabas aizsardzības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ar projekta darbībām tieši saistīto komunikācijas un vizuālās identitātes  prasību nodrošināšanas izmaksas, nepārsniedzot vienu procentu no projekta kopējām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Ministru kabineta noteikumu redakcijā izdevumu pozīcijās ar noteiktu procentuālo ierobežojumu (piemēram, 27.6.apakšpunktā; 28 un 29.punktā) nav noteikts, vai procentuālais ierobežojums aprēķināms no projekta plānotajām vai faktiskajām attiecināmajām izmaksām, kas atbilst Vadošās iestādes Vadlīniju attiecināmo izmaksu noteikšanai Eiropas Savienības kohēzijas politikas programmas 2021.-2027.gada plānošanas periodā (turpmāk- vadlīnijas) 19.punktam, tomēr, ņemot vērā atsevišķus Revīzijas iestādes konstatējumus attiecībā uz situācijām, kad projekta īstenošanas gaitā rodas neatbilstoši veiktie izdevumi vai ietaupījums, kas var novest pie procentuālā ierobežojuma pārsnieguma konstatēšanas, pat ja izdevumi atbilst apstiprinātajam projekta budžetam, vadlīnijās paredzēts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un iespēju precizēt procentuālā ierobežojuma piemērošanas nosacījumus, nodrošinot, lai tie būtu viennozīmīgi, saprotami un praksē vienādi piemērojami visām iesaistītajām pusēm, nosakot, ka procentuālais ierobežojums tiek aprēķināts attiecībā pret projekta plānotajām kopējām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Ministru kabineta noteikumu punkti par izdevumu pozīcijām ar noteiktu procentuālo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pēc būtības ir risināms Vadošās iestādes Vadlīniju attiecināmo izmaksu noteikšanai Eiropas Savienības kohēzijas politikas programmas 2021.-2027.gada plānošanas periodā (turpmāk- vadlīnijas) ietvarā, ievērojot, ka ierobežojumu kontrole attiecas uz visiem projektiem horizontāli, nevis tikai 2.2.3.3. pasākuma pirmajā un otrajā atlases kārtā. Līdz ar to rosinām šo risināt virsprojektu līmenī sadarbībā ar vadošo iestādi, ievērojot, ka ierobežojumu kontrole ir projekta īstenošanas uzraudzības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ar projekta darbībām tieši saistīto komunikācijas un vizuālās identitātes  prasību nodrošināšanas izmaksas, nepārsniedzot vienu procentu no plānotajām projekta kopējām tiešajām attiecināmajām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26-TA-22</w:t>
    </w:r>
    <w:r>
      <w:br/>
    </w:r>
    <w:r w:rsidR="00000000" w:rsidRPr="00000000" w:rsidDel="00000000">
      <w:rPr>
        <w:rtl w:val="0"/>
      </w:rPr>
      <w:t xml:space="preserve">28.04.2026. 08.15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26-TA-22</w:t>
    </w:r>
    <w:r>
      <w:br/>
    </w:r>
    <w:r w:rsidR="00000000" w:rsidRPr="00000000" w:rsidDel="00000000">
      <w:rPr>
        <w:rtl w:val="0"/>
      </w:rPr>
      <w:t xml:space="preserve">28.04.2026. 08.15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Izziņa_26-TA-22.docx</dc:title>
</cp:coreProperties>
</file>

<file path=docProps/custom.xml><?xml version="1.0" encoding="utf-8"?>
<Properties xmlns="http://schemas.openxmlformats.org/officeDocument/2006/custom-properties" xmlns:vt="http://schemas.openxmlformats.org/officeDocument/2006/docPropsVTypes"/>
</file>