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Prasības zīdaiņiem un maziem bērniem paredzētai apstrādātai graudaugu pārtikai un bērnu pārtikai un tās papildu marķējumam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5.4. apakšpunktu nolūkā nodrošināt korektu, pilnīgu un precīzu no Eiropas Savienības tiesību aktiem izrietošo saistību ieviešanas un/vai pārņemšanas atspoguļojumu ņemot vērā,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2006. gada 5. decembra Direktīvas 2006/125/EK par apstrādātu graudaugu pārtiku un bērnu pārtiku zīdaiņiem un maziem bērniem (turpmāk - Direktīva 2006/125) 1. panta 2. punkta "a" apakšpunkts, pamatojoties uz tā redakciju, šķietami, daļēji pārņemts arī noteikumu projekta 1. pielikuma piezīmēs (tieši 1. panta 2. punkta "a" apakšpunkta i), ii) un iv) apakšpunkti). Attiecīgi iesakām izvērtēt konkrēto Eiropas Savienības tiesību normu pārņemšanu noteikumu projektā un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609/2013 2. panta 2. punktā nav "i" un "ii" apakšpunkta, domājams ar to varētu būt saprotams Regulas 609/2013 2. panta 2. punkta "f" apakšpunkta "i" un "ii" apakšpunkts. Attiecīgi iesakām pārskatīt anotācijas 5.4. apakšsadaļas 1. tabulas "a" un "b" ailes, nepieciešamības gadījumā precizējot, lai nodrošinātu korektu Eiropas Savienības tiesību normu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pilnībā ievēroti anotācijas 5.4. apakšsadaļas 1. tabulas aizpildīšanas nosacījumi, nav pilnībā korekti aizpildītas visas nepieciešamās tabulas ailes. Piemēram, rindas "Direktīvas 2006/125/EK 1. panta 3. punkts" "d" ailē, neskatoties uz to, ka konkrētā tiesību norma tiek pārņemta gan Regulā 609/2013, gan noteikumu projektā, tiek norādīts "nav attiecināms". Vēršam uzmanību, ka, atspoguļojot tiesību normas pārņemšanu, noteikumu projekta "d" ailē norāda vai pārņemot netiek paredzētas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2006/125 2. panta "c" apakšpunkts, atbilstoši anotācijas 5.4. apakšsadaļas 1. tabulas "B" ailei, pārņemts noteikumu projekta 5. punktā un 3. pielikumā.  Vēršam uzmanību, ka, piemēram, projekta 3. pielikumā tiek vienkārši pieminēts Direktīvas 2006/125 2. panta "c" apakšpunktā definētais termins, bet, domājams, lai nodrošinātu pilnvērtīgu tiesību normas pārņemšanu, noteikumu projektā būtu jābūt pārņemtam pilnīgākam konkrētā termina skaidrojumam. Tāpat iesakām izvērtēt arī to vai noteikumu projekta 1. punkts tiešām pārņem Direktīvas 2006/125 3. pantu. Norādām, ka noteikumu projekta 1. punkts paredz, ka noteikumi nosaka papildu obligātās nekaitīguma prasības zīdaiņiem un maziem bērniem paredzētai apstrādātai graudaugu pārtikai un bērnu pārtikai un prasības tās papildu marķējumam, tieši nenosakot, ka iepriekš minēto pārtiku var laist tirgū tikai tad, ja tā atbilst šiem noteikumiem. Attiecīgi iesakām izvērtēt un nodrošināt korektu Eiropas Savienības tiesību normu pārņemšanu/ieviešanu, kā arī precīzi to atspoguļot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gan noteikumu projekta vienībām, gan Eiropas Savienības tiesību aktiem ir gan panti, gan punkti, gan daļas, gan apakšpunkti. Attiecīgi, anotācijas 5.4. apakšsadaļas 1. tabulā lūdzam precīzi atspoguļot tiesību normu pārņemšanu/ieviešanu. Piemēram, Direktīvas 2006/125 7. panta 2. punktam ir divas daļas no kurām pirmā šķietami pārņemta noteikumu projekta 5. punktā, bet otrā daļa noteikumu projekta 8. punktā. Atbilstoši tabulas "Direktīvas 2006/125/EK 7. panta 2. punkts" rindas "b" ailei saprotams, ka viss Direktīvas 2006/125 7. panta 2. punkts vienlīdzīgi attiecas gan uz noteikumu projekta 5.punktu, gan 8.punktu, šāda redakcija nenodrošina pilnībā korektu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2006/125 7. panta 6. punkts attiecināts uz Eiropas Komisiju. Attiecīgi iesakām izvērtēt vai ir nodrošināta visu attiecināmo tiesību normu pārņemšana/ieviešana, ņemot vērā, ka no Direktīvas 2006/125 7. panta 6. punkta redakcijas nav tieši saprotams, ka tajā noteikts pienākums Eiropas Komisijai. Konkrētā tiesību norma šķietami uztverama kā rīcības brīvība vajadzības gadījumā ieviest arī mikrobioloģiskos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anotācijas 5.4. apakšsadaļas 1. tabulā norāda konkrētu tiesību akta vienību. Attiecīgi lūdzam izvērtēt anotācijas 5.4. apakšpunkta 1. tabulas sadaļas, kur "a" ailēs ietvertas vispārīgas atsauces uz Eiropas Savienības tiesību aktiem kā tādiem, nevis konkrētām to vienībām, piemēram, "Regula Nr. 609/2013" un "Regula Nr. 1169/2011", norādot kādas konkrētas tiesību normas tiek ieviestas. No esošā formulējuma, šobrīd, saprotams, ka, piemēram, noteikumu projekta 3. punktā ieviesta visa Regula 609/2013, kas nav pilnībā precīzs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5.4. apakšpunkta 1. tabulas Regulas 609/2013 rīcības brīvības sadaļā norādīts, ka netiek paredzēta rīcības brīvība. Vēršam uzmanību, ka Regulas 609/2013 15.panta 5. punkta 2. daļa paredz dalībvalstīm rīcības brīvību "paturēt spēkā valsts noteikumus, ar ko nosaka stingrākus tīrības kritērijus." Attiecīgi iesakām izvērtēt un anotācijā atspoguļot no Eiropas Savienības tiesību aktiem izrietošo rīcības brīvību izmantošanu/neizmantošanu;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atbilstoši noteikumu projekta 10.1.apakšpunkta redakcijai ar to ieviests regulas 609/2013  pielikums, kas anotācijas 5.4. apakšpunkta 1. tabulā netiek atspoguļots. Atbilstoši tabulai ar 10.1.apakšpunktu tiek pārņemts Direktīvas 2006/125 8. panta 2. punkta "a" apakšpunkts. Attiecīgi iesakām izvērtēt Eiropas Savienības tiesību normu pārņemšanu/ieviešanu noteikumu projekta 10.1.apakšpunktā un nodrošināt korektu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pārliecināties par Eiropas Savienības tiesību normu korektu ieviešanu/pārņemšanu un to korektu, pilnīgu atspoguļojumu ne tikai attiecībā uz minēto piemēru, bet arī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un 3) Veikti precizējumi anotācijas 5.4. apakšsadaļas 1. tabulas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Veikti precizējumi "Direktīvas 2006/125/EK 7.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Izstrādājot noteikumu projektu  nepieciešams atsaukties uz "Regulu Nr. 609/2013" kopumā, jo vispārīgās prasības zīdaiņiem un maziem bērniem paredzētai pārtikai ir noteiktas Regulā Nr. 609/2013, kā arī uz "Regulu Nr. 1169/2011", jo regula paredz obligātās marķēšanas prasības, kas attiecās uz visiem pārtikas produktiem un brīvprātīgi sniegta pārtikas produktu informācija, piemērojot atbilstoši Regulā Nr. 1169/2011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Veikti precizējumi, pievienots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Bērnu pārtikas sastāvs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4. punktu un nepieciešamības gadījumā veikt precizējumus. Vēršam uzmanību, ka noteikumu projekta 1. punktā ir pieteikts saīsinājums "bērnu pārtika". Savukārt, noteikumu projekta 4. punktā, nosakot kādām prasībām jāatbilst bērnu pārtikai, atsevišķi tiek izdalīti vairāki elementi, kas, atbilstoši noteikumu projekta 1. punktam, ietilpst apzīmējumā "bērnu pārtika". Iesakām pārbaudīt noteikumu projektā lietotās terminoloģijas korektumu, nodrošinot viennozīmīgu, skaidru un nepārprotamu noteikumu projekta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"apstrādāta graudaugu pārtika un bērnu pārtika"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Apstrādātas graudaugu pārtikas un bērnu pārtikas sastāvs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bērnu pārtikai atļauts pievienot tikai regulas Nr. 609/2013 pielikumā minētās vielas, nepārsniedzot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norādītās maksimālās devas.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4.3. apakšpunktu un tajā ietvertās atsauces uz tiesību aktiem, ņemot vērā, ka noteikumu projekta 1. un 2. pielikumā šķietami nav minētas maksimālās devas visām regulas 609/2013 pielikumā minētajām minerālvielām, vitamīniem, aminoskābēm u.c. Attiecīgi lūdzam veikt nepieciešamos precizējumus vai sniegt skaidrojumus, lai nodrošinātu pilnīgu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noteikuma projekta 4.3.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ražojot apstrādātu graudaugu pārtiku un bērnu pārtiku atļauts pievienot tikai regulas Nr. 609/2013 pielikumā minētās vielas atbilstoši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norādītajiem sastāva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pārtika nedrīkst saturēt nekādas piesārņojošas vielas tādā daudzumā, kas varētu kaitēt zīdaiņu un mazu bērnu veselībai. Pesticīdu atlieku daudzums bērnu pārtikā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korekti pārņemts Direktīvas 2006/125 2. panta "c" apakšpunkts un veikt nepieciešamos precizējumus vai sniegt skaidrojumus anotācijā, lai nodrošinātu korektu noteikumu projekta izpratni. Vēršam uzmanību, ka pārņemamā norma ir skaidrojums terminam “pesticīdu atliekas" un noteikumu projektā lietots šis termins, bet nav ietverts konkrētais no direktīvas izrietošais skaidrojums, kā tas paredzēts iepriekš minētajā direktīvā. Attiecīgi pastāv bažas par pilnīgu tiesību normas pārņemšanu un korektas izpratnes nodrošināšanu. Vienlaicīgi norādām, ka atšķirībā piemēram no Direktīva 2006/125 2. panta "a" un "b" apakšpunkta, "c"  apakšpunkts netiek pārņemts Regulā 609/2013, kas ir tieši piemērojams Eiropas Savienības tiesību akts.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Apstrādāta graudaugu pārtika un bērnu pārtika nedrīkst saturēt pesticīdu atliekas tādā daudzumā, kas varētu kaitēt zīdaiņu un mazu bērnu veselībai. Pesticīdu atlieku daudzums apstrādātā graudaugu pārtikā un bērnu pārtikā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 </w:t>
            </w:r>
            <w:r w:rsidR="00000000" w:rsidRPr="00000000" w:rsidDel="00000000">
              <w:rPr>
                <w:rtl w:val="0"/>
              </w:rPr>
              <w:t xml:space="preserve">pielikum</w:t>
            </w:r>
            <w:r w:rsidR="00000000" w:rsidRPr="00000000" w:rsidDel="00000000">
              <w:rPr>
                <w:rtl w:val="0"/>
              </w:rPr>
              <w:t xml:space="preserve">ā minētos pesticīdus aizliegts izmantot lauksaimniecības produktu ieguvē, ja šos produktus paredzēts izmantot bērnu pārtikas ražošanā. Atzīstams, ka pesticīdi nav lietoti, ja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minēto atsevišķu pesticīdu atlieku daudzums nepārsniedz analītiskās metodes kvantitatīvās noteikšanas robežu – 0,003 miligramus kilogramā.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6. punkta redakciju, pārliecinoties par pilnīgu Eiropas Savienības tiesību normas pārņemšanu, nepieciešamības gadījumā veicot precizējumus. Vēršam uzmanību, ka atbilstoši direktīvas 2006/125 7. panta 3. punkta "b" apakšpunktam, attiecībā uz noteikumu projekta 4. pielikuma atsevišķu pesticīdu atlieku daudzumu (domājams attiecībā uz 2. tabulā iekļautajiem pesticīdiem), šķietami ievērojama prasība, ka to līmeni regulāri pārskata, ņemot vērā datus par apkārtējās vides piesārņojumu (kas nav paredzēts noteikumu projektā vai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skaidrojumi anotācijas 1.3.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 </w:t>
            </w:r>
            <w:r w:rsidR="00000000" w:rsidRPr="00000000" w:rsidDel="00000000">
              <w:rPr>
                <w:rtl w:val="0"/>
              </w:rPr>
              <w:t xml:space="preserve">pielikum</w:t>
            </w:r>
            <w:r w:rsidR="00000000" w:rsidRPr="00000000" w:rsidDel="00000000">
              <w:rPr>
                <w:rtl w:val="0"/>
              </w:rPr>
              <w:t xml:space="preserve">ā minētos pesticīdus aizliegts izmantot lauksaimniecības produktu ieguvē, ja šos produktus paredzēts izmantot apstrādātas graudaugu pārtikas un bērnu pārtikas ražošanā. Atzīstams, ka pesticīdi nav lietoti, ja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minēto atsevišķu pesticīdu atlieku daudzums nepārsniedz analītiskās metodes kvantitatīvās noteikšanas robežu – 0,003 miligramus kilogramā.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Pesticīdu atlieku daudzuma noteikšanai izmanto vispārpieņemtās standarta analīzes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8. punktu, nolūkā nodrošināt skaidru, korektu un viennozīmīgu noteikumu projekta izpratni, lūdzam to precizēt vai sniegt konkrētākus skaidrojumus anotācijā. Vēršam uzmanību, ka 8. punktā tiek noteikta nepieciešamība pesticīda atlieku noteikšanai izmantot vispārpieņemtās standarta analīzes metodes, bet no projekta un anotācijas nav skaidrs, kādas konkrētas metodes ar to ir saprotamas.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8.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Pesticīdu atlieku daudzuma noteikšanai izmanto paraugu ņemšanas un analīžu metodes saskaņā ar normatīvajiem aktiem par pesticīdu atlieku kontroles kārtību augu un dzīvnieku izcelsmes produktos.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w:t>
            </w:r>
            <w:r w:rsidR="00000000" w:rsidRPr="00000000" w:rsidDel="00000000">
              <w:rPr>
                <w:rtl w:val="0"/>
              </w:rPr>
              <w:t xml:space="preserve">​</w:t>
            </w:r>
            <w:r w:rsidR="00000000" w:rsidRPr="00000000" w:rsidDel="00000000">
              <w:rPr>
                <w:rtl w:val="0"/>
              </w:rPr>
              <w:t xml:space="preserve">skaitliskā veidā 100 gramos vai 100 mililitros fasēta produkta izteiktu </w:t>
            </w:r>
            <w:r w:rsidR="00000000" w:rsidRPr="00000000" w:rsidDel="00000000">
              <w:rPr>
                <w:rtl w:val="0"/>
              </w:rPr>
              <w:t xml:space="preserve">​</w:t>
            </w:r>
            <w:r w:rsidR="00000000" w:rsidRPr="00000000" w:rsidDel="00000000">
              <w:rPr>
                <w:rtl w:val="0"/>
              </w:rPr>
              <w:t xml:space="preserve">vidējo daudzumu </w:t>
            </w:r>
            <w:r w:rsidR="00000000" w:rsidRPr="00000000" w:rsidDel="00000000">
              <w:rPr>
                <w:rtl w:val="0"/>
              </w:rPr>
              <w:t xml:space="preserve">regulas Nr. 609/2013 </w:t>
            </w:r>
            <w:r w:rsidR="00000000" w:rsidRPr="00000000" w:rsidDel="00000000">
              <w:rPr>
                <w:rtl w:val="0"/>
              </w:rPr>
              <w:t xml:space="preserve"> pielikumā minētajām vielām, kas nav norādītas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un, ja nepieciešams, patēriņam ieteiktajā produkta daudzumā;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sarežģīti formulēta un grūti uztverama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Skaitliskā veidā izteiktu regulas Nr. 609/2013 pielikumā minēto vielu, kas nav norādītas šo noteikumu 1. un 2. pielikumā, vidējo daudzumu 100 gramos vai 100 mililitros fasēta produkta, un, ja nepieciešams, patēriņam ieteiktajā produkta daudzumā.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10.1.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w:t>
            </w:r>
            <w:r w:rsidR="00000000" w:rsidRPr="00000000" w:rsidDel="00000000">
              <w:rPr>
                <w:rtl w:val="0"/>
              </w:rPr>
              <w:t xml:space="preserve">​</w:t>
            </w:r>
            <w:r w:rsidR="00000000" w:rsidRPr="00000000" w:rsidDel="00000000">
              <w:rPr>
                <w:rtl w:val="0"/>
              </w:rPr>
              <w:t xml:space="preserve">skaitliskā veidā izteiktu  </w:t>
            </w:r>
            <w:r w:rsidR="00000000" w:rsidRPr="00000000" w:rsidDel="00000000">
              <w:rPr>
                <w:rtl w:val="0"/>
              </w:rPr>
              <w:t xml:space="preserve">regulas Nr. 609/2013 </w:t>
            </w:r>
            <w:r w:rsidR="00000000" w:rsidRPr="00000000" w:rsidDel="00000000">
              <w:rPr>
                <w:rtl w:val="0"/>
              </w:rPr>
              <w:t xml:space="preserve"> pielikumā minēto vielu, kas nav norādītas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vidējo daudzumu 100 gramos vai 100 mililitros fasēta produkta, un, ja nepieciešams, patēriņam ieteiktajā produkta daudzumā;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vai noteikumu projekta 1. pielikumā tiek atspoguļotas visas produktu sastāvdaļas un to minimālie un/vai maksimālie daudzumi. Vēršam uzmanību, ka, piemēram, noteikumu projekta 1. pielikuma 4.3.1.apakšpunktā tiek norādīta "laurīnskābe", bet direktīvā 2006/125 tiek lietots "laurskābe". Savukārt attiecībā uz nātriju noteikumu projekta 1. pielikuma 5.1. apakšpunktā tiek lietots formulējums "nātrijs", bet direktīvā 2006/125 tiek lietots konkrētāks formulējums: "nātrija saturs apstrādātu graudaugu pārtikas produktos"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 pielikuma 4.3.1.apakšpunktā no "laurīnskābe" uz "laurskābe" un 1. pielikuma 5.1. apakšpunktā  "nātrijs" uz  "nātrija saturs" un piezīme </w:t>
            </w:r>
            <w:r w:rsidR="00000000" w:rsidRPr="00000000" w:rsidDel="00000000">
              <w:rPr>
                <w:vertAlign w:val="superscript"/>
                <w:rtl w:val="0"/>
              </w:rPr>
              <w:t xml:space="preserve">6</w:t>
            </w:r>
            <w:r w:rsidR="00000000" w:rsidRPr="00000000" w:rsidDel="00000000">
              <w:rPr>
                <w:rtl w:val="0"/>
              </w:rPr>
              <w:t xml:space="preserve"> norāda uz apstrādātu graudaugu pārtikas produktiem.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papildināt noteikumu projekta anotācijas 1.3. apakšsadaļu, nodrošinot, ka noteikumu projekta un tā pielikumu satura un no tā izrietošo praktisko aspektu atspoguļojums ir pietiekami konkrēts, lai noteikumu projekta adresātam tas būtu pilnībā skaidrs un nepārprotams. Vēršam uzmanību, ka pašreizējā redakcijā sniegtais risinājuma apraksts ir ļoti vispārīgs un nesniedz izvērstāku skaidrojumu par noteikumu projekta būtību vai, piemēram, to, ka ar projektu par spēku zaudējušiem tiek atzīti Ministru kabineta  2015. gada 2. jūnija noteikumi Nr. 269 "Prasības zīdaiņu un mazu bērnu pārtikai un tās marķējumam" (turpmāk - noteikumi Nr.269). Attiecīgi lūdzam ņemt vērā, ka anotācijas 1.3. apakšsadaļas problēmas aprakstā skaidro problēmu, kuru plānots novērst ar noteikumu projektu, bet risinājuma apraksta sadaļā skaidro attiecīgās problēmas risinājumu, kas paredzēts noteikumu projektā un nodrošināt konkrētās informācijas iekļaušanu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par tiesībām, pienākumiem un darbībām, kas komersantiem izriet no noteikumu projekta. Lai gan tiek skaidrots, ka noteikumu projektā tiek pārņemts noteikumu Nr. 269 saturs un prasības, tomēr būtu nepieciešams sniegt skaidrojumu par noteikumu projekta ietekmi uz komersantiem, kurus ietekmēs regulējums, jo īpaši ņemot vērā, ka arī noteikumu Nr. 269 anotācijā netiek aprakstīta ietekme uz komersantiem, bet gan norādīts, ka “tiek pārņemtas noteikumu Nr.118 prasības un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2.1. apakšsadaļas ietekmes apraksta formulējuma daļu, kas norāda uz to, ka ar noteikumu projektu tiek pārņemtas noteikumu Nr. 269 prasības un saturs un precizēt to, nodrošinot korektu skaidrojumu. Vēršam uzmanību, ka noteikumu projekts pārņem direktīvas un ievieš regulu prasības, nodrošinot korektu tiesisko regulējumu jautājumā par prasībām zīdaiņiem un maziem bērniem paredzētai apstrādātai graudaugu pārtikai un bērnu pārtikai un tās papildu marķējumam un atceļ noteikumus Nr. 269. Attiecīgi nav korekti skaidrot, ka tiek pārņemtas noteikumu Nr. 269 prasības un saturs, ja saprotams, ka tas tiek atzīts par spēku zaudējušu, jo nav atbilstošs spēkā esošajam tiesiskajam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2.1. apakšsadaļā.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23-TA-1328</w:t>
    </w:r>
    <w:r>
      <w:br/>
    </w:r>
    <w:r w:rsidR="00000000" w:rsidRPr="00000000" w:rsidDel="00000000">
      <w:rPr>
        <w:rtl w:val="0"/>
      </w:rPr>
      <w:t xml:space="preserve">22.03.2024. 22.25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23-TA-1328</w:t>
    </w:r>
    <w:r>
      <w:br/>
    </w:r>
    <w:r w:rsidR="00000000" w:rsidRPr="00000000" w:rsidDel="00000000">
      <w:rPr>
        <w:rtl w:val="0"/>
      </w:rPr>
      <w:t xml:space="preserve">22.03.2024. 22.25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Izziņa_23-TA-1328.docx</dc:title>
</cp:coreProperties>
</file>

<file path=docProps/custom.xml><?xml version="1.0" encoding="utf-8"?>
<Properties xmlns="http://schemas.openxmlformats.org/officeDocument/2006/custom-properties" xmlns:vt="http://schemas.openxmlformats.org/officeDocument/2006/docPropsVTypes"/>
</file>