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15.12.2025. 13:31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noteikumu 24.1. apakšpunkta izteikšanu jaunā redakcijā sniegts šāds skaidrojums: "</w:t>
            </w:r>
            <w:r w:rsidR="00000000" w:rsidRPr="00000000" w:rsidDel="00000000">
              <w:rPr>
                <w:i w:val="1"/>
                <w:rtl w:val="0"/>
              </w:rPr>
              <w:t xml:space="preserve">Finanšu ministrija, aktualizējot vadlīnijas Nr. 1.4. "Vadlīnijas Ministru kabineta noteikumu par specifiskā atbalsta mērķa īstenošanu izstrādei Eiropas Savienības fondu 2021.—2027. gada plānošanas periodā", ir pārskatījusi interešu konflikta, korupcijas un krāpšanas novēršanas nosacījumus attiecibā uz ES fondu projektiem. Ņemot vērā minēto, pēc līdzības nepieciešams pārskatīt AF noteiktos nosacījumus un redakcionāli precizēt 24.1. apakšpunktu. Vienlaikus jāmin, ka šobrīd minētajā apakšpunktā ietvertā atsauce uz Eiropas Parlamenta un Padomes 2021. gada 12. februāra Regulas (ES) Nr. 2021/241, ar ko izveido Atveseļošanas un noturības mehānismu (turpmāk – regula Nr. 2021/241), 22. pantu ir pārskatāma, ņemot vērā, ka minētais pants nosaka vispārīgus pienākumus, kurus jāievēro kopumā dalībvalstij, lai nodrošinātu interešu konflikta, korupcijas un krāpšanas novēršanu. (ne tieši finansējuma saņēmējiem)</w:t>
            </w:r>
            <w:r w:rsidR="00000000" w:rsidRPr="00000000" w:rsidDel="00000000">
              <w:rPr>
                <w:rtl w:val="0"/>
              </w:rPr>
              <w:t xml:space="preserve">." Atkārtoti aicinām ietvert izvērstāku skaidrojumu par to, kas tieši vadlīnijās ir mainījies un kādēļ veikts tieši šāds precizējums. Citastarp aicinām izvērtēt un skaidrot šādas redakcijas korektumu, proti, aicinām skaidrot, vai </w:t>
            </w:r>
            <w:r w:rsidR="00000000" w:rsidRPr="00000000" w:rsidDel="00000000">
              <w:rPr>
                <w:rtl w:val="0"/>
              </w:rPr>
              <w:t xml:space="preserve">Eiropas Parlamenta un Padomes 2024. gada 23. septembra Regulas (ES, Euratom) 2024/2509 par finanšu noteikumiem, ko piemēro Savienības vispārējam budžetam (pārstrādāta redakcija), 61. pants pēc būtības ir piemērojams arī finansējuma saņēmējiem (tostarp privātpersonām), ne tikai valsts iestādēm. Ja nepieciešams,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galvenās izmaiņas, kas tiek veiktas, ir saistītas ar to, ka šobrīd MK noteikumos ir ietverta atsauce uz Eiropas Parlamenta un Padomes 2021. gada 12. februāra Regulas (ES) Nr. 2021/241, ar ko izveido Atveseļošanas un noturības mehānismu (turpmāk – regula Nr. 2021/241), 22. pantu, kas nosaka vispārīgus pienākumus, kurus jāievēro kopumā dalībvalstij, lai nodrošinātu interešu konflikta, korupcijas un krāpšanas novēršanu. Proti, minētais regulas pants paredz, ka dalībvalstij ir jānodrošina attiecīgas iekšējās kontroles sistēmas izstrādi un regulāras pārbaudes, lai nepieļautu minētos riskus, kā arī, iesniedzot maksājumu pieprasījumus, jāparaksta pārvaldības deklarāciju. Šie pienākumi nav tieši attiecināmi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FM informatīvo materiālu par interešu konflikta novēršanu ES fondu īstenošanā (pieejams - https://www.esfondi.lv/guidelines_and_regulations_assets/vi-informativais-materials-par-ik.pdf) uz finansējuma saņēmēju tieši ir attiecināms Eiropas Parlamenta un Padomes 2024. gada 23. septembra Regulas (ES, Euratom) 2024/2509 par finanšu noteikumiem, ko piemēro Savienības vispārējam budžetam (pārstrādāta redakcija), 61. pants, kas nosaka pienākumus interešu konflikta, korupcijas un krāpšanas novēršanai, uz ko tad tiek ietverta atsauce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viena, virzot izmaiņas MK noteikumos, LM ir ietvērusi redakcijas, kas ir iestrādātas arī citos tās pārziņas MK noteikumos (proti, vadoties no izmaiņām Finanšu ministrija vadlīnijās Nr. 1.4. "Vadlīnijas Ministru kabineta noteikumu par specifiskā atbalsta mērķa īstenošanu izstrādei Eiropas Savienības fondu 2021.—2027. gada plānošanas periodā", vairs netiek noteikti konkrēti pienākumi, kas veicami finansējuma saņēmējam (piemēram, apliecinājumu parakstīšana), bet dota atsauce uz augstāk minēto regulas punktu, lai finansējuma saņēmējs varētu veikt tos pasākumus, kas noteikti tā iekšējās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redakcionāla rakstura un nemaina finansējuma saņēmējiem noteiktos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 sadaļā precizēt, ka KP VIS virsprojekta datu līmenī datus par 113. atskaites punkta svītrošanu un 114. mērķrādītāja precizēšanu nodrošinās koordinējošā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“Cita informācija” precizēta, norādot, ka KP VIS virsprojekta datu līmenī datus par 113. atskaites punkta svītrošanu un 114. mērķrādītāja precizēšanu nodrošinās Finanšu ministrija kā AF koordinējošā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no Labklājības ministrijas īstenotās 3.1.2.1.i.investīcijas pirmās kārtas “Valsts un pašvaldību ēku vides pieejamības nodrošināšanas pasākumi” (turpmāk - 3.1.2.1.i.investīcijas pirmā kārta) pieejamā finansējuma plānots pārdalīt finansējuma atlikumu 38 409 </w:t>
            </w:r>
            <w:r w:rsidR="00000000" w:rsidRPr="00000000" w:rsidDel="00000000">
              <w:rPr>
                <w:i w:val="1"/>
                <w:rtl w:val="0"/>
              </w:rPr>
              <w:t xml:space="preserve">euro </w:t>
            </w:r>
            <w:r w:rsidR="00000000" w:rsidRPr="00000000" w:rsidDel="00000000">
              <w:rPr>
                <w:rtl w:val="0"/>
              </w:rPr>
              <w:t xml:space="preserve">apmērā uz Labklājības ministrijas īstenoto 3.1.2.1.i.investīcijas otro kārtu “Atbalsta pasākumi cilvēkiem ar invaliditāti mājokļu vides pieejamības nodrošināšanai”, savukārt Ministru kabineta noteikumu “Grozījumi Ministru kabineta 2023.gada 5.septembra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projekta (25-TA-1659) anotācijas 1.3.apakšsadaļas punkta “Risinājuma apraksts” 3.punktā no 3.1.2.1.i.investīcijas pirmās kārtas pārdalāmais finansējums norādīts 38 410 </w:t>
            </w:r>
            <w:r w:rsidR="00000000" w:rsidRPr="00000000" w:rsidDel="00000000">
              <w:rPr>
                <w:i w:val="1"/>
                <w:rtl w:val="0"/>
              </w:rPr>
              <w:t xml:space="preserve">euro </w:t>
            </w:r>
            <w:r w:rsidR="00000000" w:rsidRPr="00000000" w:rsidDel="00000000">
              <w:rPr>
                <w:rtl w:val="0"/>
              </w:rPr>
              <w:t xml:space="preserve">apmērā, attiecīgi lūdzam salāgot abu kārtu pārdalāmā finansējuma apmēru, attiecīgi veicot atbilstošus precizējumus attiecīgajā Ministru kabineta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Ministru kabineta noteikumu projekta “Grozījumi Ministru kabineta 2023.gada 5.septembra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(25-TA-1659) anotācijas 1.3. apakšsadaļas punkta “Risinājuma apraksts” 3. punktā, norādot, ka no 3.1.2.1.i. investīcijas pirmās kārtas pārdalāmais finansējums ir 38 409 euro (atbilstoši tam, kā norādīts 3.1.2.1.i. investīcijas pirmās kārtas MK noteikumu grozījumu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Pasākumu īsteno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saņēmējiem ir skaidri atlases īstenošanas nosacījumi, aicinām pārskatīt noteikumu 33.punktā noteikto pasākuma īstenošanas termiņu, sasaistot norādīto termiņu ar noteikumu 23.3.1.(prim) norādīto noslēguma maksājuma pieprasījuma iesniegšanas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 punkts, norādot, ka 3.1.2.1.i. investīcijas pirmo kārtu  īsteno līdz 2026. gada 31. decembrim, bet tās ietvaros projektus īsteno līdz 2026. gada 15.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Ekonomisko un finanšu jautājumu padomes sanāksmē 2025. gada 12. decembrī tika apstiprinātas izmaiņas AF plānā un  Padomes īstenošanas lēmumā par Latvijas AF plāna apstiprināšanu, veikti atbilstoši precizējumi anotācijā, kā arī svītrots MK noteikumiem pievienotā protokollēmuma 5. punkts, kas paredzēja pienākumu Labklājības ministrijai informēt Ministru kabinetu par turpmāko rīcību gadījumā, ja Eiropas Komisija neatbalsta izmaiņas minētajos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Pasākumu īsteno līdz 2026. gada 31. decembrim, bet pasākuma ietvaros projektus īsteno līdz 2026. gada 15. novembrim.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11.09.2025. 14:50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attiecīgie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MK tika pieņemti 02.09.2025.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būs nepieciešams veikt grozījumus vienošanās un līgumos par investīciju projekta īstenošanu, ņemot vērā, ka no Ministru kabineta 2022. gada 20. septembra noteikumiem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noteikumi Nr. 582) tiek svītrots 7.2. apakšpunktā minētais atskaites punkts, kā arī 8.2. apakšpunkts un citas izrietošās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2025. gada 30. septembrī organizēja sanāksmi ar Centrālās finanšu un līguma aģentūras (turpmāk – CFLA) un Finanšu ministrijas pārstāvjiem, kurā, ņemot vērā MK noteikumos veikto atskaites punkta svītrošanu, tika pārrunāts jautājums par nepieciešamību veikt grozījumus vienošanās vai līgumos starp CFLA un finansējuma saņēmēju. CFLA informēja, ka ir iespējams veikt izmaiņas Kohēzijas fondu politikas vadības informācijas sistēmā virsprojektu datu līmenī un svītrot attiecīgo atskaites punktu. Pēc tam, ja nepieciešams, iespējams veikt arī CFLA kā līgumslēdzējpuses vienpusējus vienošanās vai līguma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3.1.2.1.i.pasākuma īstenošanai paredzēto kopējo attiecināmā finansējuma, Atveseļošanas un noturības mehānisma (turpmāk – Atveseļošanas fonds) un valsts budžeta finansējuma apmēru atbilstoši noteikumu Nr.582 11.punkta plānotajai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anotācijas 3. sadaļas 6.2. apakšpunktā norādīts 3.1.2.1.i. investīcijas pirmās kārtas Atveseļošanas fonda un valsts budžeta finansējuma apjoms, kā arī finansējums kopā atbilstoši MK noteikumu Nr. 582 grozījumu plānotajai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1., 2. un 3.punkta un 1.1., 1.2. un 1.3.apakšpunkta 2.ailē norādīt Atveseļošanas fonda un valsts budžeta finansējuma apmēru pirms attiecīgā finansējuma samazinājuma veikšanas, jo atbilstoši anotācijas 3.sadaļas 6.2.apakšpunktā sniegtajai informācijai Atveseļošanas fonda finansējums 4 983 793 </w:t>
            </w:r>
            <w:r w:rsidR="00000000" w:rsidRPr="00000000" w:rsidDel="00000000">
              <w:rPr>
                <w:i w:val="1"/>
                <w:rtl w:val="0"/>
              </w:rPr>
              <w:t xml:space="preserve">euro </w:t>
            </w:r>
            <w:r w:rsidR="00000000" w:rsidRPr="00000000" w:rsidDel="00000000">
              <w:rPr>
                <w:rtl w:val="0"/>
              </w:rPr>
              <w:t xml:space="preserve">apmērā un valsts budžeta finansējums 227 231 </w:t>
            </w:r>
            <w:r w:rsidR="00000000" w:rsidRPr="00000000" w:rsidDel="00000000">
              <w:rPr>
                <w:i w:val="1"/>
                <w:rtl w:val="0"/>
              </w:rPr>
              <w:t xml:space="preserve">euro </w:t>
            </w:r>
            <w:r w:rsidR="00000000" w:rsidRPr="00000000" w:rsidDel="00000000">
              <w:rPr>
                <w:rtl w:val="0"/>
              </w:rPr>
              <w:t xml:space="preserve">apmērā jau ietver Atveseļošanas fonda finansējuma samazinājumu 720 378 </w:t>
            </w:r>
            <w:r w:rsidR="00000000" w:rsidRPr="00000000" w:rsidDel="00000000">
              <w:rPr>
                <w:i w:val="1"/>
                <w:rtl w:val="0"/>
              </w:rPr>
              <w:t xml:space="preserve">euro </w:t>
            </w:r>
            <w:r w:rsidR="00000000" w:rsidRPr="00000000" w:rsidDel="00000000">
              <w:rPr>
                <w:rtl w:val="0"/>
              </w:rPr>
              <w:t xml:space="preserve">apmērā un valsts budžeta finansējuma samazinājumu 30 248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 atbilstoši priekšlikumā izteiktajam – norādīts Atveseļošanās fonda un valsts budžeta finansējuma apmērs pirms attiecīgā finansējuma samazinājuma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5.1.apakšpunkta 3.aili.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 sadaļas 5.1. apakšpunkta 3. aile, norādot valsts budžeta finansējuma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nosakot, ka tiek atbalstīta 3.1.2.1.i. investīcijas “Publisko pakalpojumu un nodarbinātības pieejamības veicināšanas pasākumi cilvēkiem ar funkcionāliem traucējumiem” pirmās kārtas “Valsts un pašvaldību ēku vides pieejamības nodrošināšanas pasākumi” īstenošanas noteikumi”” īstenošanai nepieciešamā pievienotās vērtības nodokļa ne vairāk kā 293 243 </w:t>
            </w:r>
            <w:r w:rsidR="00000000" w:rsidRPr="00000000" w:rsidDel="00000000">
              <w:rPr>
                <w:i w:val="1"/>
                <w:rtl w:val="0"/>
              </w:rPr>
              <w:t xml:space="preserve">euro </w:t>
            </w:r>
            <w:r w:rsidR="00000000" w:rsidRPr="00000000" w:rsidDel="00000000">
              <w:rPr>
                <w:rtl w:val="0"/>
              </w:rPr>
              <w:t xml:space="preserve">apmērā segšana no valsts budžeta līdzekļiem. Līdz ar to Ministru kabineta sēdes protokollēmuma projekts papildināms ar punktu, kas nosaka, ka Ministru kabineta 2025.gada 22.aprīļa sēdes protokollēmuma (protokols Nr.16 11.§) “Noteikumu projekts “|Grozījumi Ministru kabineta 2022.gada 20.septembra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3.punkts tiek atzīts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protokollēmums papildināts ar diviem jauniem punktiem – par aktuālo 3.1.2.1.i. investīcijas pirmās kārtas pievienotās vērtības apmēru, kas sedzams no valsts budžeta finansējuma, un  iepriekšējās MK sēdes 22. aprīļa sēdes lēmuma atzīšanu par aktualitāti zaudējušu.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informēt Ministru kabinetu par turpmāko rīcību gadījumā, ja Eiropas Komisija neatbalsta Atveseļošanas un noturības mehānisma plāna un Darbības kārtības, par kuru vienojas Eiropas Komisija un Latvija, grozījumu priekšlikumu attiecībā uz 3.1.2.1.i. investīcijas “Publisko pakalpojumu un nodarbinātības pieejamības veicināšanas pasākumi cilvēkiem ar funkcionāliem traucējumiem” pirmās kārtas "Valsts un pašvaldību ēku vides pieejamības nodrošināšanas pasākumi" 113. mērķrādītāja “Līgumu parakstīšana, lai nodrošinātu piekļuvi publiskām telpām valsts un pašvaldību ēkās”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No EK vēl nav saņemts viedoklis par atskaites punkta svītrošanu, un, ja EK neatbalstīs ierosinātās izmaiņas attiecībā uz atskaites punkta svītrošanu AF plānā un Darbības kārtībā, Labklājības ministrija veiks attiecīgus grozījumus MK noteikumos Nr. 582.</w:t>
            </w:r>
            <w:r w:rsidR="00000000" w:rsidRPr="00000000" w:rsidDel="00000000">
              <w:rPr>
                <w:rtl w:val="0"/>
              </w:rPr>
              <w:t xml:space="preserve">" Aicinām izvērtēt iespēju attiecīgo grozījumu, kuru izdarīšanai vēl nav saņemts apstiprinājums no Eiropas Komisijas, vai visu noteikumu projektu virzīt apstiprināšanai Ministru kabinetā pēc tam, kad attiecīgs Eiropas Komisijas apstiprinājums tiks saņemts, tādējādi arī izvairoties no vairākkārtējas tiesiskā regulējuma grozīšanas un iespējamas tiesiskā regulējuma nestabilitātes veicināšanas, vai anotācijā izvērstāk pamatot šāda risinājuma izvēli un atbilstību Latvijas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izvērtējusi Tieslietu ministrijas priekšlikumu un informē, ka Eiropas Komisija (turpmāk – EK) 2025. gada 8. septembrī organizēja sanāksmi ar LM pārstāvjiem par grozījumiem Atveseļošanas fonda plānā un Darbības kārtībā, par kuru vienojas Latvija un Eiropas Komisija. Minētajā sanāksmē tika pārrunāts LM aicinājums svītrot 113. atskaites punktu “līgumu slēgšanas tiesību piešķiršana, lai nodrošinātu piekļuvi publiskām telpām valsts un pašvaldību ēkās”, ņemot vērā EK aicinājumu svītrot šīs pašas investīcijas otrās kārtas analogu atskaites punktu, kurš sevī ietver līgumu slēgšanu par personu mājokļu pielāgojumu veikšanu. Neformālajā dokumentu (Atveseļošanas fonda plāna un Darbības kārtības, par kuru vienojas Latvija un Eiropas Komisija) grozījumu saskaņošanas procesā nav indikāciju, ka Eiropas Komisija neatbalstītu 113. atskaites punkta svītrošanu. 2025. gada 4. novembrī MK sēdē tika apstiprināts rīkojums “Par Latvijas atveseļošanas un noturības mehānisma plāna trešo papildinājumu”, kas ietver arī 113. atskaites punkta svītrošanu. Precizēta arī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Grozījumi šo noteikumu 7.2. un </w:t>
            </w:r>
            <w:r w:rsidR="00000000" w:rsidRPr="00000000" w:rsidDel="00000000">
              <w:rPr>
                <w:rtl w:val="0"/>
              </w:rPr>
              <w:t xml:space="preserve">7.3.</w:t>
            </w:r>
            <w:r w:rsidR="00000000" w:rsidRPr="00000000" w:rsidDel="00000000">
              <w:rPr>
                <w:rtl w:val="0"/>
              </w:rPr>
              <w:t xml:space="preserve"> apakšpunktā par izmaiņām pasākuma ietvaros sasniedzamo atskaites punktu termiņos stājas spēkā nākamajā dienā pēc tam, kad oficiālajā izdevumā "Latvijas Vēstnesis" publicēts paziņojums, ka Eiropas Komisija pieņēmusi pozitīvu lēmumu par Atveseļošanas fonda plāna grozījumu priekšlikumiem par izmaiņām pasākuma ietvaros sasniedzamo atskaites punktu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 punkts šobrīd paredz, ka tiek grozīts noteikumu Nr. 582 34. punkts, lai gan tā redakcija ar grozījumiem nav izmainīta. Gadījumā, ja ir paredzēts noteikt atliekošu termiņu noteikumu Nr. 582 7.2. un 8.2. apakšpunkta svītrošanai un izrietošajiem grozījumiem citās noteikumu Nr. 582 normās, lūdzam papildināt noteikumu projektu ar jaunu punktu, kas to paredz, negrozot noteikumu Nr. 582 34. punktu, ņemot vērā, ka tas attiecināms specifiski uz 2023. gada 4. jūlijā pieņemtajiem grozījumiem noteikumos Nr. 582.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MK noteikumu Nr. 582 grozījumiem tika svītrots 7.2. apakšpunkts, TAP funkcionalitāte veica automātiski izmaiņas visās normās, kurās ir atsauce uz šo normu. LM šo sasaisti noņēma un attiecīgi norma grozīta netiek.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25-TA-1658</w:t>
    </w:r>
    <w:r>
      <w:br/>
    </w:r>
    <w:r w:rsidR="00000000" w:rsidRPr="00000000" w:rsidDel="00000000">
      <w:rPr>
        <w:rtl w:val="0"/>
      </w:rPr>
      <w:t xml:space="preserve">07.01.2026. 09.48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25-TA-1658</w:t>
    </w:r>
    <w:r>
      <w:br/>
    </w:r>
    <w:r w:rsidR="00000000" w:rsidRPr="00000000" w:rsidDel="00000000">
      <w:rPr>
        <w:rtl w:val="0"/>
      </w:rPr>
      <w:t xml:space="preserve">07.01.2026. 09.48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Izziņa_25-TA-1658.docx</dc:title>
</cp:coreProperties>
</file>

<file path=docProps/custom.xml><?xml version="1.0" encoding="utf-8"?>
<Properties xmlns="http://schemas.openxmlformats.org/officeDocument/2006/custom-properties" xmlns:vt="http://schemas.openxmlformats.org/officeDocument/2006/docPropsVTypes"/>
</file>