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8D885F" w14:textId="77777777" w:rsidR="00B056AE" w:rsidRDefault="00B056AE" w:rsidP="00B056AE">
      <w:pPr>
        <w:rPr>
          <w:rFonts w:eastAsia="Times New Roman"/>
          <w:lang w:val="en-US" w:eastAsia="lv-LV"/>
        </w:rPr>
      </w:pPr>
      <w:r>
        <w:rPr>
          <w:rFonts w:eastAsia="Times New Roman"/>
          <w:b/>
          <w:bCs/>
          <w:lang w:val="en-US" w:eastAsia="lv-LV"/>
        </w:rPr>
        <w:t>From:</w:t>
      </w:r>
      <w:r>
        <w:rPr>
          <w:rFonts w:eastAsia="Times New Roman"/>
          <w:lang w:val="en-US" w:eastAsia="lv-LV"/>
        </w:rPr>
        <w:t xml:space="preserve"> Ieva Alhasova &lt;ieva.alhasova@financelatvia.eu&gt;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April 26, 2021 12:26 PM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Kristīne Priedīte &lt;Kristine.Priedite@em.gov.lv&gt;; Dita Tetere &lt;Dita.Tetere@em.gov.lv&gt;; Ilze Lore &lt;Ilze.Lore@em.gov.lv&gt;; Sanita Bajāre &lt;sanita.bajare@financelatvia.eu&gt;; Jānis </w:t>
      </w:r>
      <w:proofErr w:type="spellStart"/>
      <w:r>
        <w:rPr>
          <w:rFonts w:eastAsia="Times New Roman"/>
          <w:lang w:val="en-US" w:eastAsia="lv-LV"/>
        </w:rPr>
        <w:t>Brazovskis</w:t>
      </w:r>
      <w:proofErr w:type="spellEnd"/>
      <w:r>
        <w:rPr>
          <w:rFonts w:eastAsia="Times New Roman"/>
          <w:lang w:val="en-US" w:eastAsia="lv-LV"/>
        </w:rPr>
        <w:t xml:space="preserve"> &lt;janis.brazovskis@financelatvia.eu&gt;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MK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projekta</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15.07.2016. </w:t>
      </w:r>
      <w:proofErr w:type="spellStart"/>
      <w:r>
        <w:rPr>
          <w:rFonts w:eastAsia="Times New Roman"/>
          <w:lang w:val="en-US" w:eastAsia="lv-LV"/>
        </w:rPr>
        <w:t>noteikumos</w:t>
      </w:r>
      <w:proofErr w:type="spellEnd"/>
      <w:r>
        <w:rPr>
          <w:rFonts w:eastAsia="Times New Roman"/>
          <w:lang w:val="en-US" w:eastAsia="lv-LV"/>
        </w:rPr>
        <w:t xml:space="preserve"> Nr. 469 "</w:t>
      </w:r>
      <w:proofErr w:type="spellStart"/>
      <w:r>
        <w:rPr>
          <w:rFonts w:eastAsia="Times New Roman"/>
          <w:lang w:val="en-US" w:eastAsia="lv-LV"/>
        </w:rPr>
        <w:t>Noteikumi</w:t>
      </w:r>
      <w:proofErr w:type="spellEnd"/>
      <w:r>
        <w:rPr>
          <w:rFonts w:eastAsia="Times New Roman"/>
          <w:lang w:val="en-US" w:eastAsia="lv-LV"/>
        </w:rPr>
        <w:t xml:space="preserve"> par </w:t>
      </w:r>
      <w:proofErr w:type="spellStart"/>
      <w:r>
        <w:rPr>
          <w:rFonts w:eastAsia="Times New Roman"/>
          <w:lang w:val="en-US" w:eastAsia="lv-LV"/>
        </w:rPr>
        <w:t>paralēlajiem</w:t>
      </w:r>
      <w:proofErr w:type="spellEnd"/>
      <w:r>
        <w:rPr>
          <w:rFonts w:eastAsia="Times New Roman"/>
          <w:lang w:val="en-US" w:eastAsia="lv-LV"/>
        </w:rPr>
        <w:t xml:space="preserve"> </w:t>
      </w:r>
      <w:proofErr w:type="spellStart"/>
      <w:r>
        <w:rPr>
          <w:rFonts w:eastAsia="Times New Roman"/>
          <w:lang w:val="en-US" w:eastAsia="lv-LV"/>
        </w:rPr>
        <w:t>aizdevumiem</w:t>
      </w:r>
      <w:proofErr w:type="spellEnd"/>
      <w:r>
        <w:rPr>
          <w:rFonts w:eastAsia="Times New Roman"/>
          <w:lang w:val="en-US" w:eastAsia="lv-LV"/>
        </w:rPr>
        <w:t xml:space="preserve"> </w:t>
      </w:r>
      <w:proofErr w:type="spellStart"/>
      <w:r>
        <w:rPr>
          <w:rFonts w:eastAsia="Times New Roman"/>
          <w:lang w:val="en-US" w:eastAsia="lv-LV"/>
        </w:rPr>
        <w:t>saimnieciskās</w:t>
      </w:r>
      <w:proofErr w:type="spellEnd"/>
      <w:r>
        <w:rPr>
          <w:rFonts w:eastAsia="Times New Roman"/>
          <w:lang w:val="en-US" w:eastAsia="lv-LV"/>
        </w:rPr>
        <w:t xml:space="preserve"> </w:t>
      </w:r>
      <w:proofErr w:type="spellStart"/>
      <w:r>
        <w:rPr>
          <w:rFonts w:eastAsia="Times New Roman"/>
          <w:lang w:val="en-US" w:eastAsia="lv-LV"/>
        </w:rPr>
        <w:t>darbības</w:t>
      </w:r>
      <w:proofErr w:type="spellEnd"/>
      <w:r>
        <w:rPr>
          <w:rFonts w:eastAsia="Times New Roman"/>
          <w:lang w:val="en-US" w:eastAsia="lv-LV"/>
        </w:rPr>
        <w:t xml:space="preserve"> </w:t>
      </w:r>
      <w:proofErr w:type="spellStart"/>
      <w:r>
        <w:rPr>
          <w:rFonts w:eastAsia="Times New Roman"/>
          <w:lang w:val="en-US" w:eastAsia="lv-LV"/>
        </w:rPr>
        <w:t>veicējiem</w:t>
      </w:r>
      <w:proofErr w:type="spellEnd"/>
      <w:r>
        <w:rPr>
          <w:rFonts w:eastAsia="Times New Roman"/>
          <w:lang w:val="en-US" w:eastAsia="lv-LV"/>
        </w:rPr>
        <w:t xml:space="preserve"> </w:t>
      </w:r>
      <w:proofErr w:type="spellStart"/>
      <w:r>
        <w:rPr>
          <w:rFonts w:eastAsia="Times New Roman"/>
          <w:lang w:val="en-US" w:eastAsia="lv-LV"/>
        </w:rPr>
        <w:t>konkurētspējas</w:t>
      </w:r>
      <w:proofErr w:type="spellEnd"/>
      <w:r>
        <w:rPr>
          <w:rFonts w:eastAsia="Times New Roman"/>
          <w:lang w:val="en-US" w:eastAsia="lv-LV"/>
        </w:rPr>
        <w:t xml:space="preserve"> </w:t>
      </w:r>
      <w:proofErr w:type="spellStart"/>
      <w:r>
        <w:rPr>
          <w:rFonts w:eastAsia="Times New Roman"/>
          <w:lang w:val="en-US" w:eastAsia="lv-LV"/>
        </w:rPr>
        <w:t>uzlabošanai</w:t>
      </w:r>
      <w:proofErr w:type="spellEnd"/>
      <w:r>
        <w:rPr>
          <w:rFonts w:eastAsia="Times New Roman"/>
          <w:lang w:val="en-US" w:eastAsia="lv-LV"/>
        </w:rPr>
        <w:t xml:space="preserve">" </w:t>
      </w:r>
      <w:proofErr w:type="spellStart"/>
      <w:r>
        <w:rPr>
          <w:rFonts w:eastAsia="Times New Roman"/>
          <w:lang w:val="en-US" w:eastAsia="lv-LV"/>
        </w:rPr>
        <w:t>atkārtotu</w:t>
      </w:r>
      <w:proofErr w:type="spellEnd"/>
      <w:r>
        <w:rPr>
          <w:rFonts w:eastAsia="Times New Roman"/>
          <w:lang w:val="en-US" w:eastAsia="lv-LV"/>
        </w:rPr>
        <w:t xml:space="preserve"> </w:t>
      </w:r>
      <w:proofErr w:type="spellStart"/>
      <w:r>
        <w:rPr>
          <w:rFonts w:eastAsia="Times New Roman"/>
          <w:lang w:val="en-US" w:eastAsia="lv-LV"/>
        </w:rPr>
        <w:t>saskaņošanu</w:t>
      </w:r>
      <w:proofErr w:type="spellEnd"/>
      <w:r>
        <w:rPr>
          <w:rFonts w:eastAsia="Times New Roman"/>
          <w:lang w:val="en-US" w:eastAsia="lv-LV"/>
        </w:rPr>
        <w:t xml:space="preserve"> (VSS-151)</w:t>
      </w:r>
    </w:p>
    <w:p w14:paraId="08B557FE" w14:textId="77777777" w:rsidR="00B056AE" w:rsidRDefault="00B056AE" w:rsidP="00B056AE"/>
    <w:p w14:paraId="2FFD5695" w14:textId="77777777" w:rsidR="00B056AE" w:rsidRDefault="00B056AE" w:rsidP="00B056AE">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24EF6B85" w14:textId="77777777" w:rsidR="00B056AE" w:rsidRDefault="00B056AE" w:rsidP="00B056AE">
      <w:r>
        <w:t>Labdien!</w:t>
      </w:r>
    </w:p>
    <w:p w14:paraId="0FFC9B8B" w14:textId="77777777" w:rsidR="00B056AE" w:rsidRDefault="00B056AE" w:rsidP="00B056AE"/>
    <w:p w14:paraId="68E7EF3F" w14:textId="77777777" w:rsidR="00B056AE" w:rsidRDefault="00B056AE" w:rsidP="00B056AE">
      <w:r>
        <w:t xml:space="preserve">Latvijas Finanšu nozares asociācija ir iepazinusies ar Ekonomikas ministrijas izstrādātajiem grozījumiem </w:t>
      </w:r>
      <w:r>
        <w:rPr>
          <w:color w:val="000000"/>
        </w:rPr>
        <w:t xml:space="preserve">Ministru kabineta 2016. gada 15. jūlija noteikumos Nr. 469 "Noteikumi par paralēlajiem aizdevumiem saimnieciskās darbības veicējiem konkurētspējas uzlabošanai" un </w:t>
      </w:r>
      <w:r>
        <w:rPr>
          <w:b/>
          <w:bCs/>
          <w:color w:val="000000"/>
        </w:rPr>
        <w:t>neatbalsta</w:t>
      </w:r>
      <w:r>
        <w:rPr>
          <w:color w:val="000000"/>
        </w:rPr>
        <w:t xml:space="preserve"> t</w:t>
      </w:r>
      <w:r>
        <w:t>o</w:t>
      </w:r>
      <w:r>
        <w:rPr>
          <w:color w:val="000000"/>
        </w:rPr>
        <w:t xml:space="preserve"> tālāku virzību, ņemot vērā tālākminēto:</w:t>
      </w:r>
    </w:p>
    <w:p w14:paraId="24D2363B" w14:textId="77777777" w:rsidR="00B056AE" w:rsidRDefault="00B056AE" w:rsidP="00B056AE"/>
    <w:p w14:paraId="2F772FF4" w14:textId="77777777" w:rsidR="00B056AE" w:rsidRDefault="00B056AE" w:rsidP="00B056AE">
      <w:pPr>
        <w:pStyle w:val="ListParagraph"/>
        <w:numPr>
          <w:ilvl w:val="0"/>
          <w:numId w:val="1"/>
        </w:numPr>
        <w:rPr>
          <w:rFonts w:eastAsia="Times New Roman"/>
        </w:rPr>
      </w:pPr>
      <w:r>
        <w:rPr>
          <w:rFonts w:eastAsia="Times New Roman"/>
        </w:rPr>
        <w:t xml:space="preserve">Tā kā </w:t>
      </w:r>
      <w:proofErr w:type="spellStart"/>
      <w:r>
        <w:rPr>
          <w:rFonts w:eastAsia="Times New Roman"/>
        </w:rPr>
        <w:t>Altum</w:t>
      </w:r>
      <w:proofErr w:type="spellEnd"/>
      <w:r>
        <w:rPr>
          <w:rFonts w:eastAsia="Times New Roman"/>
        </w:rPr>
        <w:t xml:space="preserve"> šobrīd ir pasūtījis tirgus nepilnību </w:t>
      </w:r>
      <w:proofErr w:type="spellStart"/>
      <w:r>
        <w:rPr>
          <w:rFonts w:eastAsia="Times New Roman"/>
        </w:rPr>
        <w:t>izvērtējumu</w:t>
      </w:r>
      <w:proofErr w:type="spellEnd"/>
      <w:r>
        <w:rPr>
          <w:rFonts w:eastAsia="Times New Roman"/>
        </w:rPr>
        <w:t xml:space="preserve"> par daudzdzīvokļu dzīvojamo ēku pieejamību, uzskatām, ka sarunas par nepieciešamo atbalstu un izmaiņām normatīvajos aktos būtu jāturpina tikai pēc iepazīšanās ar attiecīgo </w:t>
      </w:r>
      <w:proofErr w:type="spellStart"/>
      <w:r>
        <w:rPr>
          <w:rFonts w:eastAsia="Times New Roman"/>
        </w:rPr>
        <w:t>izvērtējumu</w:t>
      </w:r>
      <w:proofErr w:type="spellEnd"/>
      <w:r>
        <w:rPr>
          <w:rFonts w:eastAsia="Times New Roman"/>
        </w:rPr>
        <w:t xml:space="preserve"> un atbilstoši identificētajai tirgus nepilnībai; MK noteikumu projekta anotācijā nav informācijas, kas pamato pieprasījumu, kā arī nav analizēta informācija par šobrīd attīstībā, būvniecībā esošiem daudzdzīvokļu mājokļu apmēriem tirgū (piemēram, BIS pieejamā informācija par izsniegtajām būvatļaujām utt.);</w:t>
      </w:r>
    </w:p>
    <w:p w14:paraId="0A77782A" w14:textId="77777777" w:rsidR="00B056AE" w:rsidRDefault="00B056AE" w:rsidP="00B056AE">
      <w:pPr>
        <w:pStyle w:val="ListParagraph"/>
        <w:numPr>
          <w:ilvl w:val="0"/>
          <w:numId w:val="1"/>
        </w:numPr>
        <w:rPr>
          <w:rFonts w:eastAsia="Times New Roman"/>
        </w:rPr>
      </w:pPr>
      <w:r>
        <w:rPr>
          <w:rFonts w:eastAsia="Times New Roman"/>
        </w:rPr>
        <w:t xml:space="preserve">Ņemot vērā banku rīcībā pieejamo informāciju par plānotajiem projektiem NĪ jomā Rīgā un Pierīgā, nesaskatām tirgus nepilnību un nepieciešamību pēc valsts intervences šim reģionam, attiecīgi valsts atbalsts tam nebūtu piešķirams; </w:t>
      </w:r>
    </w:p>
    <w:p w14:paraId="2449928A" w14:textId="77777777" w:rsidR="00B056AE" w:rsidRDefault="00B056AE" w:rsidP="00B056AE">
      <w:pPr>
        <w:pStyle w:val="ListParagraph"/>
        <w:numPr>
          <w:ilvl w:val="0"/>
          <w:numId w:val="1"/>
        </w:numPr>
        <w:rPr>
          <w:rFonts w:eastAsia="Times New Roman"/>
        </w:rPr>
      </w:pPr>
      <w:r>
        <w:rPr>
          <w:rFonts w:eastAsia="Times New Roman"/>
        </w:rPr>
        <w:t>Vēlamies uzsvērt, ka OECD veiktais pētījums, uz ko EM atsaucas anotācijā, ir pamatots vēsturiskajos datos, anotācijā nav informācijas par aktuālo un prognozēto situāciju tirgū.  Piemēram, Latvijas Finanšu nozares asociācijas veiktā aptauja liecina, ka lielākajās bankās izsniegto hipotekāro kredītu apjoms 2020.gadā pieaudzis par 20-30, tāpat pozitīvu efektu uz pirktspēju ir devusi minimālās algas palielināšana līdz 500EUR no š.g.1.janvāra.</w:t>
      </w:r>
    </w:p>
    <w:p w14:paraId="35878336" w14:textId="77777777" w:rsidR="00B056AE" w:rsidRDefault="00B056AE" w:rsidP="00B056AE">
      <w:pPr>
        <w:pStyle w:val="ListParagraph"/>
        <w:numPr>
          <w:ilvl w:val="0"/>
          <w:numId w:val="1"/>
        </w:numPr>
        <w:rPr>
          <w:rFonts w:eastAsia="Times New Roman"/>
        </w:rPr>
      </w:pPr>
      <w:r>
        <w:rPr>
          <w:rFonts w:eastAsia="Times New Roman"/>
        </w:rPr>
        <w:t>Nav skaidra pamatojuma valsts atbalsta nepieciešamībai finansēt t/c un biroju būvniecību – līdzšinējās banku aplēses liecina, ka virkne biroju ēku ir tikai daļēji aizpildītas, vienlaikus šim segmentam ir pieejams banku finansējums, šāds atbalsta veids arī nemazina sociālo nevienlīdzību;</w:t>
      </w:r>
    </w:p>
    <w:p w14:paraId="2AC1889C" w14:textId="77777777" w:rsidR="00B056AE" w:rsidRDefault="00B056AE" w:rsidP="00B056AE">
      <w:pPr>
        <w:pStyle w:val="ListParagraph"/>
        <w:numPr>
          <w:ilvl w:val="0"/>
          <w:numId w:val="1"/>
        </w:numPr>
        <w:rPr>
          <w:rFonts w:eastAsia="Times New Roman"/>
        </w:rPr>
      </w:pPr>
      <w:r>
        <w:rPr>
          <w:rFonts w:eastAsia="Times New Roman"/>
        </w:rPr>
        <w:t xml:space="preserve">Ir kritiski svarīgi NĪ jomā fokusēties uz esošā fonda atjaunošanu, nevis jaunu būvniecību – ir svarīgi risināt veco, tukšo ēku </w:t>
      </w:r>
      <w:proofErr w:type="spellStart"/>
      <w:r>
        <w:rPr>
          <w:rFonts w:eastAsia="Times New Roman"/>
        </w:rPr>
        <w:t>problēmjautājumu</w:t>
      </w:r>
      <w:proofErr w:type="spellEnd"/>
      <w:r>
        <w:rPr>
          <w:rFonts w:eastAsia="Times New Roman"/>
        </w:rPr>
        <w:t xml:space="preserve"> pilsētu centros; </w:t>
      </w:r>
    </w:p>
    <w:p w14:paraId="5DA281EA" w14:textId="77777777" w:rsidR="00B056AE" w:rsidRDefault="00B056AE" w:rsidP="00B056AE">
      <w:pPr>
        <w:pStyle w:val="ListParagraph"/>
        <w:numPr>
          <w:ilvl w:val="0"/>
          <w:numId w:val="1"/>
        </w:numPr>
        <w:rPr>
          <w:rFonts w:eastAsia="Times New Roman"/>
        </w:rPr>
      </w:pPr>
      <w:r>
        <w:rPr>
          <w:rFonts w:eastAsia="Times New Roman"/>
        </w:rPr>
        <w:t xml:space="preserve">Ir svarīgi diferencēt aizdevuma termiņus (10-15 gadi), ņemot vērā NĪ projekta veidu – pārdošana vai izīrēšana, tas pats ir attiecināms arī uz pamatsummas atmaksas atlikšanu; </w:t>
      </w:r>
    </w:p>
    <w:p w14:paraId="3E5EE585" w14:textId="77777777" w:rsidR="00B056AE" w:rsidRDefault="00B056AE" w:rsidP="00B056AE">
      <w:pPr>
        <w:pStyle w:val="ListParagraph"/>
        <w:numPr>
          <w:ilvl w:val="0"/>
          <w:numId w:val="1"/>
        </w:numPr>
        <w:rPr>
          <w:rFonts w:eastAsia="Times New Roman"/>
        </w:rPr>
      </w:pPr>
      <w:r>
        <w:rPr>
          <w:rFonts w:eastAsia="Times New Roman"/>
        </w:rPr>
        <w:t xml:space="preserve">Ir svarīgi fokusēties uz uzņēmumu attīstīšanu, kas pastarpināti veicinātu algu pieaugumu, nevis uz lētiem īres dzīvokļiem. Zinot aptuveno ēnu ekonomikas apjomu, secinām, ka tie, kam ir mazāki </w:t>
      </w:r>
      <w:r>
        <w:rPr>
          <w:rFonts w:eastAsia="Times New Roman"/>
          <w:u w:val="single"/>
        </w:rPr>
        <w:t>oficiālie</w:t>
      </w:r>
      <w:r>
        <w:rPr>
          <w:rFonts w:eastAsia="Times New Roman"/>
        </w:rPr>
        <w:t xml:space="preserve"> ienākumi, papildus saņems iespēju izīrēt lētu dzīvokli, kura izveidei tiks ieguldīti nodokļu maksātāju līdzekļi; </w:t>
      </w:r>
    </w:p>
    <w:p w14:paraId="5997EE4A" w14:textId="77777777" w:rsidR="00B056AE" w:rsidRDefault="00B056AE" w:rsidP="00B056AE">
      <w:pPr>
        <w:pStyle w:val="ListParagraph"/>
        <w:numPr>
          <w:ilvl w:val="0"/>
          <w:numId w:val="1"/>
        </w:numPr>
        <w:rPr>
          <w:rFonts w:eastAsia="Times New Roman"/>
        </w:rPr>
      </w:pPr>
      <w:r>
        <w:rPr>
          <w:rFonts w:eastAsia="Times New Roman"/>
        </w:rPr>
        <w:lastRenderedPageBreak/>
        <w:t>Tāpat mājokļu, t.sk. īres namu būvniecības gadījumā ir kritiska attīstītāja atbilstoša līdzdalība (nevis 5%), jo tad attīstītājs uzņemas atbildību par kvalitāti un projekta kopējo attīstību arī ar būtisku paša ieguldījumu;</w:t>
      </w:r>
    </w:p>
    <w:p w14:paraId="349D77F5" w14:textId="77777777" w:rsidR="00B056AE" w:rsidRDefault="00B056AE" w:rsidP="00B056AE">
      <w:pPr>
        <w:pStyle w:val="ListParagraph"/>
        <w:numPr>
          <w:ilvl w:val="0"/>
          <w:numId w:val="1"/>
        </w:numPr>
        <w:rPr>
          <w:rFonts w:eastAsia="Times New Roman"/>
        </w:rPr>
      </w:pPr>
      <w:r>
        <w:rPr>
          <w:rFonts w:eastAsia="Times New Roman"/>
        </w:rPr>
        <w:t xml:space="preserve">Tāpat ir virkne neskaidrību attiecībā uz īres namu finansēšanas modeli, kas tika pārrunāti ar Ekonomikas ministrijas valsts sekretāru Edmundu </w:t>
      </w:r>
      <w:proofErr w:type="spellStart"/>
      <w:r>
        <w:rPr>
          <w:rFonts w:eastAsia="Times New Roman"/>
        </w:rPr>
        <w:t>Valanti</w:t>
      </w:r>
      <w:proofErr w:type="spellEnd"/>
      <w:r>
        <w:rPr>
          <w:rFonts w:eastAsia="Times New Roman"/>
        </w:rPr>
        <w:t xml:space="preserve"> š.g. 22.aprīļa sanāksmē – modelis neparedz virkni izmaksu: PVN būvniecībai, NĪN, administratīvās izmaksas, zemes izmaksas, iekārtošanas izmaksas, kas rezultēsies negatīvā naudas plūsmā. Daļu izmaksu nosedz apsaimniekošanas maksa, vienlaikus jāsaprot, ka pēc 10-15 gadiem ēkai vajadzēs veikt atjaunošanas darbus. Nav skaidrs, kurš reģionos veiks šo ēku apsaimniekošanu, jo, pārdodot dzīvokļus, veidojas kopīpašums - ja liela daļa dzīvokļu nav pārdota un nepieciešams veikt remontdarbus, vai attīstītājs būs gatavs ieguldīt papildus naudu? </w:t>
      </w:r>
    </w:p>
    <w:p w14:paraId="180FBB23" w14:textId="77777777" w:rsidR="00B056AE" w:rsidRDefault="00B056AE" w:rsidP="00B056AE"/>
    <w:p w14:paraId="2E8AEBFB" w14:textId="77777777" w:rsidR="00B056AE" w:rsidRDefault="00B056AE" w:rsidP="00B056AE">
      <w:r>
        <w:t>Veiksmīgu un saulainu dienu vēlot,</w:t>
      </w:r>
    </w:p>
    <w:p w14:paraId="228BD3DA" w14:textId="77777777" w:rsidR="00B056AE" w:rsidRDefault="00B056AE" w:rsidP="00B056AE">
      <w:pPr>
        <w:spacing w:after="45"/>
        <w:rPr>
          <w:rFonts w:ascii="Montserrat" w:hAnsi="Montserrat"/>
          <w:b/>
          <w:bCs/>
          <w:color w:val="626366"/>
          <w:spacing w:val="-6"/>
          <w:lang w:eastAsia="lv-LV"/>
        </w:rPr>
      </w:pPr>
      <w:r>
        <w:rPr>
          <w:rFonts w:ascii="Montserrat" w:hAnsi="Montserrat"/>
          <w:b/>
          <w:bCs/>
          <w:color w:val="626366"/>
          <w:spacing w:val="-6"/>
          <w:sz w:val="20"/>
          <w:szCs w:val="20"/>
          <w:lang w:eastAsia="lv-LV"/>
        </w:rPr>
        <w:t>Ieva Alhasova</w:t>
      </w:r>
    </w:p>
    <w:p w14:paraId="694B199A" w14:textId="77777777" w:rsidR="00B056AE" w:rsidRDefault="00B056AE" w:rsidP="00B056AE">
      <w:pPr>
        <w:spacing w:after="45"/>
        <w:rPr>
          <w:rFonts w:ascii="Montserrat" w:hAnsi="Montserrat"/>
          <w:b/>
          <w:bCs/>
          <w:color w:val="626366"/>
          <w:spacing w:val="-6"/>
          <w:sz w:val="20"/>
          <w:szCs w:val="20"/>
          <w:lang w:eastAsia="lv-LV"/>
        </w:rPr>
      </w:pPr>
    </w:p>
    <w:p w14:paraId="012206C2" w14:textId="77777777" w:rsidR="00B056AE" w:rsidRDefault="00B056AE" w:rsidP="00B056AE">
      <w:pPr>
        <w:spacing w:after="45"/>
        <w:rPr>
          <w:rFonts w:ascii="Montserrat" w:hAnsi="Montserrat"/>
          <w:b/>
          <w:bCs/>
          <w:color w:val="626366"/>
          <w:spacing w:val="-6"/>
          <w:sz w:val="20"/>
          <w:szCs w:val="20"/>
          <w:lang w:eastAsia="lv-LV"/>
        </w:rPr>
      </w:pPr>
      <w:r>
        <w:rPr>
          <w:rFonts w:ascii="Montserrat" w:hAnsi="Montserrat"/>
          <w:color w:val="626366"/>
          <w:spacing w:val="-6"/>
          <w:sz w:val="20"/>
          <w:szCs w:val="20"/>
          <w:lang w:eastAsia="lv-LV"/>
        </w:rPr>
        <w:t xml:space="preserve">Ekonomikas padomniece/ </w:t>
      </w:r>
      <w:proofErr w:type="spellStart"/>
      <w:r>
        <w:rPr>
          <w:rFonts w:ascii="Montserrat" w:hAnsi="Montserrat"/>
          <w:color w:val="626366"/>
          <w:spacing w:val="-6"/>
          <w:sz w:val="20"/>
          <w:szCs w:val="20"/>
          <w:lang w:eastAsia="lv-LV"/>
        </w:rPr>
        <w:t>Economic</w:t>
      </w:r>
      <w:proofErr w:type="spellEnd"/>
      <w:r>
        <w:rPr>
          <w:rFonts w:ascii="Montserrat" w:hAnsi="Montserrat"/>
          <w:color w:val="626366"/>
          <w:spacing w:val="-6"/>
          <w:sz w:val="20"/>
          <w:szCs w:val="20"/>
          <w:lang w:eastAsia="lv-LV"/>
        </w:rPr>
        <w:t xml:space="preserve"> </w:t>
      </w:r>
      <w:proofErr w:type="spellStart"/>
      <w:r>
        <w:rPr>
          <w:rFonts w:ascii="Montserrat" w:hAnsi="Montserrat"/>
          <w:color w:val="626366"/>
          <w:spacing w:val="-6"/>
          <w:sz w:val="20"/>
          <w:szCs w:val="20"/>
          <w:lang w:eastAsia="lv-LV"/>
        </w:rPr>
        <w:t>Advisor</w:t>
      </w:r>
      <w:proofErr w:type="spellEnd"/>
      <w:r>
        <w:rPr>
          <w:rFonts w:ascii="Verdana" w:hAnsi="Verdana"/>
          <w:color w:val="626366"/>
          <w:sz w:val="17"/>
          <w:szCs w:val="17"/>
          <w:lang w:eastAsia="lv-LV"/>
        </w:rPr>
        <w:t xml:space="preserve"> </w:t>
      </w:r>
    </w:p>
    <w:p w14:paraId="116A03D7" w14:textId="77777777" w:rsidR="00B056AE" w:rsidRDefault="00B056AE" w:rsidP="00B056AE">
      <w:pPr>
        <w:spacing w:after="45"/>
        <w:rPr>
          <w:color w:val="626366"/>
          <w:sz w:val="21"/>
          <w:szCs w:val="21"/>
          <w:lang w:eastAsia="lv-LV"/>
        </w:rPr>
      </w:pPr>
      <w:r>
        <w:rPr>
          <w:rFonts w:ascii="Verdana" w:hAnsi="Verdana"/>
          <w:color w:val="626366"/>
          <w:sz w:val="15"/>
          <w:szCs w:val="15"/>
          <w:lang w:eastAsia="lv-LV"/>
        </w:rPr>
        <w:t>+371 26121155, </w:t>
      </w:r>
      <w:hyperlink r:id="rId5" w:history="1">
        <w:r>
          <w:rPr>
            <w:rStyle w:val="Hyperlink"/>
            <w:rFonts w:ascii="Verdana" w:hAnsi="Verdana"/>
            <w:sz w:val="15"/>
            <w:szCs w:val="15"/>
            <w:lang w:eastAsia="lv-LV"/>
          </w:rPr>
          <w:t>ieva.alhasova@financelatvia.eu</w:t>
        </w:r>
      </w:hyperlink>
      <w:r>
        <w:rPr>
          <w:rFonts w:ascii="Verdana" w:hAnsi="Verdana"/>
          <w:color w:val="626366"/>
          <w:sz w:val="15"/>
          <w:szCs w:val="15"/>
          <w:lang w:eastAsia="lv-LV"/>
        </w:rPr>
        <w:t>, </w:t>
      </w:r>
      <w:hyperlink r:id="rId6" w:history="1">
        <w:r>
          <w:rPr>
            <w:rStyle w:val="Hyperlink"/>
            <w:rFonts w:ascii="Verdana" w:hAnsi="Verdana"/>
            <w:color w:val="0000FF"/>
            <w:sz w:val="15"/>
            <w:szCs w:val="15"/>
            <w:lang w:eastAsia="lv-LV"/>
          </w:rPr>
          <w:t>www.financelatvia.eu</w:t>
        </w:r>
      </w:hyperlink>
    </w:p>
    <w:p w14:paraId="2B220DE6" w14:textId="52A32A17" w:rsidR="00B056AE" w:rsidRDefault="00B056AE" w:rsidP="00B056AE">
      <w:pPr>
        <w:rPr>
          <w:lang w:val="en-US" w:eastAsia="lv-LV"/>
        </w:rPr>
      </w:pPr>
      <w:r>
        <w:rPr>
          <w:noProof/>
          <w:lang w:eastAsia="lv-LV"/>
        </w:rPr>
        <w:drawing>
          <wp:inline distT="0" distB="0" distL="0" distR="0" wp14:anchorId="555427F3" wp14:editId="3E620D40">
            <wp:extent cx="5274310" cy="84836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848360"/>
                    </a:xfrm>
                    <a:prstGeom prst="rect">
                      <a:avLst/>
                    </a:prstGeom>
                    <a:noFill/>
                    <a:ln>
                      <a:noFill/>
                    </a:ln>
                  </pic:spPr>
                </pic:pic>
              </a:graphicData>
            </a:graphic>
          </wp:inline>
        </w:drawing>
      </w:r>
    </w:p>
    <w:p w14:paraId="6AF0D783" w14:textId="77777777" w:rsidR="005207B4" w:rsidRDefault="005207B4"/>
    <w:sectPr w:rsidR="005207B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ontserrat">
    <w:altName w:val="Calibri"/>
    <w:charset w:val="00"/>
    <w:family w:val="auto"/>
    <w:pitch w:val="default"/>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80D4BFB"/>
    <w:multiLevelType w:val="hybridMultilevel"/>
    <w:tmpl w:val="24AA151A"/>
    <w:lvl w:ilvl="0" w:tplc="0426000F">
      <w:start w:val="1"/>
      <w:numFmt w:val="decimal"/>
      <w:lvlText w:val="%1."/>
      <w:lvlJc w:val="left"/>
      <w:pPr>
        <w:ind w:left="720"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6AE"/>
    <w:rsid w:val="005207B4"/>
    <w:rsid w:val="00B056A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1D206"/>
  <w15:chartTrackingRefBased/>
  <w15:docId w15:val="{2E8B1686-DF8A-4393-8535-6E295251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6A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056AE"/>
    <w:rPr>
      <w:color w:val="0563C1"/>
      <w:u w:val="single"/>
    </w:rPr>
  </w:style>
  <w:style w:type="paragraph" w:styleId="NormalWeb">
    <w:name w:val="Normal (Web)"/>
    <w:basedOn w:val="Normal"/>
    <w:uiPriority w:val="99"/>
    <w:semiHidden/>
    <w:unhideWhenUsed/>
    <w:rsid w:val="00B056AE"/>
    <w:pPr>
      <w:spacing w:before="100" w:beforeAutospacing="1" w:after="100" w:afterAutospacing="1"/>
    </w:pPr>
    <w:rPr>
      <w:lang w:eastAsia="lv-LV"/>
    </w:rPr>
  </w:style>
  <w:style w:type="paragraph" w:styleId="ListParagraph">
    <w:name w:val="List Paragraph"/>
    <w:basedOn w:val="Normal"/>
    <w:uiPriority w:val="34"/>
    <w:qFormat/>
    <w:rsid w:val="00B056A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1981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inancelatvia.eu/" TargetMode="External"/><Relationship Id="rId5" Type="http://schemas.openxmlformats.org/officeDocument/2006/relationships/hyperlink" Target="mailto:ieva.alhasova@financelatvia.e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2742</Words>
  <Characters>1564</Characters>
  <Application>Microsoft Office Word</Application>
  <DocSecurity>0</DocSecurity>
  <Lines>13</Lines>
  <Paragraphs>8</Paragraphs>
  <ScaleCrop>false</ScaleCrop>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Priedīte</dc:creator>
  <cp:keywords/>
  <dc:description/>
  <cp:lastModifiedBy>Kristīne Priedīte</cp:lastModifiedBy>
  <cp:revision>1</cp:revision>
  <dcterms:created xsi:type="dcterms:W3CDTF">2021-04-26T09:50:00Z</dcterms:created>
  <dcterms:modified xsi:type="dcterms:W3CDTF">2021-04-26T09:51:00Z</dcterms:modified>
</cp:coreProperties>
</file>