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22-TA-1013: Noteikumu projekts (Groza manuāli)</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Grozījumi Ministru kabineta 2015. gada 30. jūnija noteikumos Nr. 332 "Noteikumi par Latvijas būvnormatīvu LBN 221-15 "Ēku iekšējais ūdensvads un kanalizācija""</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2015. gada 30. jūnija noteikumos Nr. 332 "Noteikumi par Latvijas būvnormatīvu LBN 221-15 "Ēku iekšējais ūdensvads un kanalizācija""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2020/2184 9.panta 3.punkta e) apakšpunkts ietver prasību, ka pamatojoties uz riska novērtēšanas rezultātiem, kas veikts saskaņā ar 9. panta 2. punktu, dalībvalstis nodrošina, ka tiek veikti dažādi riska pārvaldības pasākumi t.sk. tiek pārbaudīts, ka piegādes sistēmā izmantotie materiāli, apstrādes ķimikālijas un filtrēšanas līdzekļi, kas nonāk saskarē ar dzeramo ūdeni, atbilst direktīvas 2020/2184 11. un 12. pantam. Lūdzam projektā paredzēt tiesisko regulējumu, ar ko var pārņemt prasību par izmantoto materiālu atbilstības novērtēšanu saskaņā ar 11.pantu, piemēram, iekļaujot to Ministru kabineta 2014. gada 25. marta noteikumos Nr. 156 "Būvizstrādājumu tirgus uzraudzības kārtība".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mērķis ir pārņemt Direktīvas 2020/2184 11.panta 1.punkta prasības Ministru kabineta 2015.gada 30.jūnija noteikumos Nr.332 “Noteikumi par Latvijas būvnormatīvu LBN 221-15 "Ēku iekšējais ūdensvads un kanalizācija"”. Saskaņā ar Direktīvas 2020/2184 11. panta 2. punktu, lai nodrošinātu 1. punkta vienveidīgu piemērošanu, Eiropas Komisija pieņem īstenošanas aktus nolūkā noteikt konkrētas minimālās higiēnas prasības materiāliem, kas nonāk saskarē ar dzeramo ūdeni, pamatojoties uz V pielikumā izklāstītajiem principiem. Minētie īstenošanas akti noteiks: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līdz 2024. gada 12. janvārim – metodes to izejvielu, sastāvu un sastāvdaļu testēšanai un apstiprināšanai, kas jāiekļauj Eiropas pozitīvajos sarakstos, kuros ietvertas izejvielas, sastāvi vai sastāvdaļas, tostarp ar vielām vai materiāliem saistītās specifiskās migrācijas robežas un zinātniskos priekšnoteikumus;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 līdz 2025. gada 12. janvārim – pamatojoties uz ECHA apkopotajiem sarakstiem, kuros norādīti arī derīguma termiņi, Eiropas pozitīvos sarakstus, kuros ietvertas izejvielas, sastāvi vai sastāvdaļas katrai materiālu grupai, proti, organiskie, cementa, metāliskie, emaljas, keramikas vai citi neorganiskie materiāli, ko atļauts izmantot materiālu vai produktu ražošanā, kas ir saskarē ar dzeramo ūdeni, vajadzības gadījumā ietverot to izmantošanas nosacījumus un migrācijas robežas, kas nosakāmas, pamatojoties uz metodiku, kura pieņemta, ievērojot šīs daļas a) punktu un ņemot vērā 3. un 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 līdz 2024. gada 12. janvārim – procedūras un metodes tādu gala materiālu testēšanai un apstiprināšanai, kas izmantoti izstrādājumā, kurš veidots no Eiropas pozitīvajos sarakstos iekļauto izejvielu, sastāvu vai sastāvdaļu materiāliem vai kombinācijām.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procedūras un metodes gala materiālu testēšanai un apstiprināšanai nav izstrādātas.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2015. gada 30. jūnija noteikumos Nr. 332 "Noteikumi par Latvijas būvnormatīvu LBN 221-15 "Ēku iekšējais ūdensvads un kanalizācija""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2015. gada 30. jūnija noteikumos Nr. 332 "Noteikumi par Latvijas būvnormatīvu LBN 221-15 "Ēku iekšējais ūdensvads un kanalizācija""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2020/2184 2.panta 10. un 11.punktā ir noteiktas definīcijas “izejviela”, kas attiecināms uz būvmateriālu ražošanu un “sastāvs”, kas attiecināms uz cauruļu/būvmateriāla sastāvu: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 “izejviela” ir viela, kas apzināti pievienota organisku materiālu vai piemaisījumu cementa materiāliem ražošanā;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11) “sastāvs” ir organiska, cementa, metāla, emaljas, keramikas vai cita neorganiska materiāla ķīmiskais sastāvs.”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iekļaut definīcijas “izejviela” un “sastāvs” būvniecības jomas normatīvajos aktos.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Šis nav noteikumu projekta jautājums. Noteikumu projekta mērķis ir pārņemt Direktīvas 2020/2184 11.panta 1.punkta prasības Ministru kabineta 2015.gada 30.jūnija noteikumos Nr.332 “Noteikumi par Latvijas būvnormatīvu LBN 221-15 "Ēku iekšējais ūdensvads un kanalizācija"”.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2015. gada 30. jūnija noteikumos Nr. 332 "Noteikumi par Latvijas būvnormatīvu LBN 221-15 "Ēku iekšējais ūdensvads un kanalizācija""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2015. gada 30. jūnija noteikumos Nr. 332 "Noteikumi par Latvijas būvnormatīvu LBN 221-15 "Ēku iekšējais ūdensvads un kanalizācija""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Ja ar būvnormatīviem nav iespējams pārņemt Direktīvas 2020/2184 10.panta prasības ēku iekšējās ūdensapgādes riska novērtējumam, lūdzam Ekonomikas ministriju iekļaut minēto prasību pārņemšanu grozījumu projektā Ministru kabineta 2010. gada 28. septembra noteikumiem Nr. 906 "Dzīvojamās mājas sanitārās apkopes noteikumi", jo Veselības ministrijas kompetences jomā esošie normatīvie akti nav atbilstoši direktīvas 10.panta pārņemšanai.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Šis nav noteikumu projekta jautājums. Noteikumu projekta mērķis ir pārņemt Direktīvas 2020/2184 11.panta 1.punkta prasības Ministru kabineta 2015.gada 30.jūnija noteikumos Nr.332 “Noteikumi par Latvijas būvnormatīvu LBN 221-15 "Ēku iekšējais ūdensvads un kanalizācija"”.</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Grozījumi Ministru kabineta 2015. gada 30. jūnija noteikumos Nr. 332 "Noteikumi par Latvijas būvnormatīvu LBN 221-15 "Ēku iekšējais ūdensvads un kanalizācija""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Papildināt būvnormatīvu ar 10.</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Būvizstrādājumiem, kurus ir paredzēts izmantot dzeramā ūdens sadales sistēmās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1. būvizstrādājumi ne tieši, ne netieši neapdraud cilvēku veselību;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2. būvizstrādājumi nelabvēlīgi neietekmē ūdens krāsu, smaržu vai garšu;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3. būvizstrādājumi neveicina mikroorganismu augšanu;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4. būvizstrādājumi nerada piesārņotāju nonākšanu ūdenī lielākā apjomā nekā nepieciešams, ņemot vērā būvizstrādājuma paredzēto mērķi.”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2020/2184 11. panta 1. punkts nosaka, ka minētās direktīvas 4. panta nolūkos dalībvalstis nodrošina, ka materiāli, kurus ir paredzēts izmantot dzeramā ūdens ieguvei, apstrādei, glabāšanai vai sadalei jaunās iekārtās vai esošajās iekārtās, ja tiek veikts to remonts vai rekonstrukcija, un kuri nonāk saskarē ar dzeramo ūdeni, būvizstrādājumiem ir jāatbilst noteiktām prasībām. Tādēļ, lai nodrošinātu pilnīgāku Direktīvas 2020/2184 11. panta 1. punkta pārņemšanu nacionālajā regulējumā, lūdzam papildināt projektā būvnormatīva 10.</w:t>
            </w:r>
            <w:r w:rsidR="00000000" w:rsidRPr="00000000" w:rsidDel="00000000">
              <w:rPr>
                <w:vertAlign w:val="superscript"/>
                <w:rtl w:val="0"/>
              </w:rPr>
              <w:t xml:space="preserve">1</w:t>
            </w:r>
            <w:r w:rsidR="00000000" w:rsidRPr="00000000" w:rsidDel="00000000">
              <w:rPr>
                <w:rtl w:val="0"/>
              </w:rPr>
              <w:t xml:space="preserve"> punktu, izsakot šādā redakcijā (papildinājums pasvītrots):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1 </w:t>
            </w:r>
            <w:r w:rsidR="00000000" w:rsidRPr="00000000" w:rsidDel="00000000">
              <w:rPr>
                <w:rtl w:val="0"/>
              </w:rPr>
              <w:t xml:space="preserve">  Būvizstrādājumiem, kurus ir paredzēts izmantot dzeramā ūdens sadales sistēmās, </w:t>
            </w:r>
            <w:r w:rsidR="00000000" w:rsidRPr="00000000" w:rsidDel="00000000">
              <w:rPr>
                <w:u w:val="single"/>
                <w:rtl w:val="0"/>
              </w:rPr>
              <w:t xml:space="preserve">tajā skaitā arī esošajās iekārtās, ja tiek veikts to remonts vai rekonstrukcija</w:t>
            </w:r>
            <w:r w:rsidR="00000000" w:rsidRPr="00000000" w:rsidDel="00000000">
              <w:rPr>
                <w:rtl w:val="0"/>
              </w:rPr>
              <w:t xml:space="preserve">,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Papildināt būvnormatīvu ar 10.</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Būvizstrādājumiem, kurus ir paredzēts izmantot dzeramā ūdens sadales sistēmās, tajā skaitā arī esošajās sistēmās, ja tiek veikta to atjaunošana vai pārbūve,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1. būvizstrādājumi ne tieši, ne netieši neapdraud cilvēku veselību;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2. būvizstrādājumi nelabvēlīgi neietekmē ūdens krāsu, smaržu vai garšu;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3. būvizstrādājumi neveicina mikroorganismu augšanu;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4. būvizstrādājumi nerada piesārņotāju nonākšanu ūdenī lielākā apjomā nekā nepieciešams, ņemot vērā būvizstrādājuma paredzēto mērķi.”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Papildināt būvnormatīvu ar 10.</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Būvizstrādājumiem, kurus ir paredzēts izmantot dzeramā ūdens sadales sistēmās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1. būvizstrādājumi ne tieši, ne netieši neapdraud cilvēku veselību;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2. būvizstrādājumi nelabvēlīgi neietekmē ūdens krāsu, smaržu vai garšu;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3. būvizstrādājumi neveicina mikroorganismu augšanu;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4. būvizstrādājumi nerada piesārņotāju nonākšanu ūdenī lielākā apjomā nekā nepieciešams, ņemot vērā būvizstrādājuma paredzēto mērķi.”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2020/2184 11. panta 1. punkts nosaka, ka minētās direktīvas 4. panta nolūkos dalībvalstis nodrošina, ka materiāli, kurus ir paredzēts izmantot dzeramā ūdens ieguvei, apstrādei, glabāšanai vai sadalei jaunās iekārtās vai esošajās iekārtās, ja tiek veikts to remonts vai rekonstrukcija, un kuri nonāk saskarē ar dzeramo ūdeni, būvizstrādājumiem ir jāatbilst noteiktām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Tādēļ, lai nodrošinātu pilnīgāku Direktīvas 2020/2184 11. panta 1. punkta pārņemšanu nacionālajā regulējumā un nodrošinātu, ka tiek noteiktas prasības būvmateriāliem, kas tiek paredzēti izmantot dzeramā ūdens ieguvei, apstrādei, un glabāšanai, lūdzam veikt grozījumus arī Ministru kabineta 2015. gada 30. jūnija noteikumos Nr. 326 "Noteikumi par Latvijas būvnormatīvu LBN 222-15 "Ūdensapgādes būves"" un/vai citos būvnormatīvos, attiecīgi papildinot arī projekta anotāciju par saistītajiem normatīvajiem aktiem, ar kuriem būtu pārņemamas pārējās Direktīvas 2020/2184 11. panta 1.punkta prasības.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pilnībā pārņemtu Direktīvas 2020/2184 11.panta 1.punkta prasības, attiecīgie grozījumi tiek veikti arī Ministru kabineta 2015.gada 30.jūnija noteikumos Nr.326 "Noteikumi par Latvijas būvnormatīvu LBN 222-15 "Ūdensapgādes būves"" (22-TA-1014).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Papildināt būvnormatīvu ar 10.</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Būvizstrādājumiem, kurus ir paredzēts izmantot dzeramā ūdens sadales sistēmās, tajā skaitā arī esošajās sistēmās, ja tiek veikta to atjaunošana vai pārbūve,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1. būvizstrādājumi ne tieši, ne netieši neapdraud cilvēku veselību;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2. būvizstrādājumi nelabvēlīgi neietekmē ūdens krāsu, smaržu vai garšu;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3. būvizstrādājumi neveicina mikroorganismu augšanu;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4. būvizstrādājumi nerada piesārņotāju nonākšanu ūdenī lielākā apjomā nekā nepieciešams, ņemot vērā būvizstrādājuma paredzēto mērķi.”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6.</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(VM - 03.08.2022.)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Direktīvas 2020/2184 11. panta 7. punkts nosaka, ka dalībvalstīm jāuzskata, ka izstrādājumi, kas apstiprināti saskaņā ar 11.panta 2. punktā noteiktajām konkrētajām minimālajām higiēnas prasībām, atbilst 11. panta 1. punktā paredzētajām prasībām. Dalībvalstīm jānodrošina, ka direktīvas 2020/2184 piemērošanas nolūkā tirgū var laist tikai tādus izstrādājumus, kas nonāk saskarē ar dzeramo ūdeni, kuros izmantotie gala materiāli ir apstiprināti saskaņā ar direktīvu 2020/2184. Tādējādi 11.panta 7.punkts paredz gala materiālu apstiprināšanas procesu pirms to laišanas tirgū un nepieciešams norādīt kādā kārtībā šo procesu veiktu Latvijā, vai saistībā ar šo prasību būs nepieciešami normatīvo aktu grozījumi.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Lūdzam papildināt projekta anotācijas risinājuma aprakstu par Direktīvas 2020/2184 11. panta 2. punktu, arī ar informāciju par 11. panta 7.punkta un V.pielikuma “11. PANTĀ NORĀDĪTO METODOLOĢIJU NOTEIKŠANAS PRINCIPI” (materiālu grupu definīcijas) pārņemšanas kārtību.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Noteikumu projekta mērķis ir pārņemt Direktīvas 2020/2184 11.panta 1.punkta prasības Ministru kabineta 2015.gada 30.jūnija noteikumos Nr.332 “Noteikumi par Latvijas būvnormatīvu LBN 221-15 "Ēku iekšējais ūdensvads un kanalizācija"”. Saskaņā ar Direktīvas 2020/2184 11. panta 2. punktu, lai nodrošinātu 1. punkta vienveidīgu piemērošanu, Eiropas Komisija pieņem īstenošanas aktus nolūkā noteikt konkrētas minimālās higiēnas prasības materiāliem, kas nonāk saskarē ar dzeramo ūdeni, pamatojoties uz V pielikumā izklāstītajiem principiem. Minētie īstenošanas akti noteiks: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 līdz 2024. gada 12. janvārim – metodes to izejvielu, sastāvu un sastāvdaļu testēšanai un apstiprināšanai, kas jāiekļauj Eiropas pozitīvajos sarakstos, kuros ietvertas izejvielas, sastāvi vai sastāvdaļas, tostarp ar vielām vai materiāliem saistītās specifiskās migrācijas robežas un zinātniskos priekšnoteikumus;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b) līdz 2025. gada 12. janvārim – pamatojoties uz ECHA apkopotajiem sarakstiem, kuros norādīti arī derīguma termiņi, Eiropas pozitīvos sarakstus, kuros ietvertas izejvielas, sastāvi vai sastāvdaļas katrai materiālu grupai, proti, organiskie, cementa, metāliskie, emaljas, keramikas vai citi neorganiskie materiāli, ko atļauts izmantot materiālu vai produktu ražošanā, kas ir saskarē ar dzeramo ūdeni, vajadzības gadījumā ietverot to izmantošanas nosacījumus un migrācijas robežas, kas nosakāmas, pamatojoties uz metodiku, kura pieņemta, ievērojot šīs daļas a) punktu un ņemot vērā 3. un 4. punktu;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c) līdz 2024. gada 12. janvārim – procedūras un metodes tādu gala materiālu testēšanai un apstiprināšanai, kas izmantoti izstrādājumā, kurš veidots no Eiropas pozitīvajos sarakstos iekļauto izejvielu, sastāvu vai sastāvdaļu materiāliem vai kombinācijām.</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Pašlaik procedūras un metodes gala materiālu testēšanai un apstiprināšanai nav izstrādātas.</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7.</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Noteikumu (grozījumu) projekts</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Papildināt būvnormatīvu ar 10.</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Būvizstrādājumiem, kurus ir paredzēts izmantot dzeramā ūdens sadales sistēmās, tajā skaitā arī esošajās iekārtās, ja tiek veikta to atjaunošana vai pārbūve,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1. būvizstrādājumi ne tieši, ne netieši neapdraud cilvēku veselību;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2. būvizstrādājumi nelabvēlīgi neietekmē ūdens krāsu, smaržu vai garšu;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3. būvizstrādājumi neveicina mikroorganismu augšanu;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4. būvizstrādājumi nerada piesārņotāju nonākšanu ūdenī lielākā apjomā nekā nepieciešams, ņemot vērā būvizstrādājuma paredzēto mērķi.”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izvērtēt, vai noteikumu projekta 3. punktā izteiktajā būvnormatīva 10.</w:t>
            </w:r>
            <w:r w:rsidR="00000000" w:rsidRPr="00000000" w:rsidDel="00000000">
              <w:rPr>
                <w:vertAlign w:val="superscript"/>
                <w:rtl w:val="0"/>
              </w:rPr>
              <w:t xml:space="preserve">1 </w:t>
            </w:r>
            <w:r w:rsidR="00000000" w:rsidRPr="00000000" w:rsidDel="00000000">
              <w:rPr>
                <w:rtl w:val="0"/>
              </w:rPr>
              <w:t xml:space="preserve">punktā vārds "iekārtās" nav aizvietojams ar vārdu "sistēmās", ņemot vērā iepriekš izmantoto terminu "sistēmās" pirmajā teikuma daļā. Nepieciešamības gadījumā lūdzam precizēt projektu, nodrošinot vienveidīgu terminoloģiju, vai arī skaidrot anotācijā atšķirīga termina lietojumu.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 Papildināt būvnormatīvu ar 10.</w:t>
            </w:r>
            <w:r w:rsidR="00000000" w:rsidRPr="00000000" w:rsidDel="00000000">
              <w:rPr>
                <w:vertAlign w:val="superscript"/>
                <w:rtl w:val="0"/>
              </w:rPr>
              <w:t xml:space="preserve">1</w:t>
            </w:r>
            <w:r w:rsidR="00000000" w:rsidRPr="00000000" w:rsidDel="00000000">
              <w:rPr>
                <w:rtl w:val="0"/>
              </w:rPr>
              <w:t xml:space="preserve"> punktu šādā redakcijā: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   Būvizstrādājumiem, kurus ir paredzēts izmantot dzeramā ūdens sadales sistēmās, tajā skaitā arī esošajās sistēmās, ja tiek veikta to atjaunošana vai pārbūve, un kuri nonāk saskarē ar dzeramo ūdeni, jāatbilst šādām prasībām: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1. būvizstrādājumi ne tieši, ne netieši neapdraud cilvēku veselību;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2. būvizstrādājumi nelabvēlīgi neietekmē ūdens krāsu, smaržu vai garšu;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3. būvizstrādājumi neveicina mikroorganismu augšanu;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10.</w:t>
            </w:r>
            <w:r w:rsidR="00000000" w:rsidRPr="00000000" w:rsidDel="00000000">
              <w:rPr>
                <w:vertAlign w:val="superscript"/>
                <w:rtl w:val="0"/>
              </w:rPr>
              <w:t xml:space="preserve">1</w:t>
            </w:r>
            <w:r w:rsidR="00000000" w:rsidRPr="00000000" w:rsidDel="00000000">
              <w:rPr>
                <w:rtl w:val="0"/>
              </w:rPr>
              <w:t xml:space="preserve">4. būvizstrādājumi nerada piesārņotāju nonākšanu ūdenī lielākā apjomā nekā nepieciešams, ņemot vērā būvizstrādājuma paredzēto mērķi.”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8.</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ar šo noteikumu projektu saistīto noteikumu projektu "Grozījumi Ministru kabineta 2015.gada 30.jūnija noteikumos Nr.326 "Noteikumi par Latvijas būvnormatīvu LBN 222-15 "Ūdensapgādes būves"" (22-TA-1014), aicinām to norādīt anotācijas 4. sadaļā (attiecīgi arī projekta Nr. 22-TA-1014 anotācijas 4. sadaļā norādot informāciju par šo noteikumu projektu).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Nav 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Tie ir divi atsevišķi projekti.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 Tiesību akta projekta ietekme uz spēkā esošo tiesību normu sistēmu</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9.</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- 15.09.2022.)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Vēršam uzmanību, ka, skaidrojot noteikumu projekta 3. punktu, nav ņemti vērā precizējumi būvnormatīva 10.</w:t>
            </w:r>
            <w:r w:rsidR="00000000" w:rsidRPr="00000000" w:rsidDel="00000000">
              <w:rPr>
                <w:vertAlign w:val="superscript"/>
                <w:rtl w:val="0"/>
              </w:rPr>
              <w:t xml:space="preserve">1</w:t>
            </w:r>
            <w:r w:rsidR="00000000" w:rsidRPr="00000000" w:rsidDel="00000000">
              <w:rPr>
                <w:rtl w:val="0"/>
              </w:rPr>
              <w:t xml:space="preserve"> punkta formulējumā, kas veikti uz atkārtoto saskaņošanu. Attiecīgi lūdzam salāgot anotācijā minēto informāciju ar noteikumu projektā paredzēto regulējumu.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Aicinām arī ietvert norādi anotācijā par noteikumu projekta 1. punktā paredzēto būvnormatīva 10.</w:t>
            </w:r>
            <w:r w:rsidR="00000000" w:rsidRPr="00000000" w:rsidDel="00000000">
              <w:rPr>
                <w:vertAlign w:val="superscript"/>
                <w:rtl w:val="0"/>
              </w:rPr>
              <w:t xml:space="preserve">1</w:t>
            </w:r>
            <w:r w:rsidR="00000000" w:rsidRPr="00000000" w:rsidDel="00000000">
              <w:rPr>
                <w:rtl w:val="0"/>
              </w:rPr>
              <w:t xml:space="preserve"> punkta piemērošanu ar 2023. gada 12. janvāri, kā arī iekļaut anotācijas 5. sadaļas 1. tabulā informāciju arī par Eiropas Parlamenta un Padomes 2020. gada 16. decembra Direktīvas (ES) 2020/2184 par dzeramā ūdens kvalitāti (pārstrādāta redakcija) 24. panta 1. punkta pārņemšanu noteikumu projekta 1. un 2. 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22-TA-1013</w:t>
    </w:r>
    <w:r>
      <w:br/>
    </w:r>
    <w:r w:rsidR="00000000" w:rsidRPr="00000000" w:rsidDel="00000000">
      <w:rPr>
        <w:rtl w:val="0"/>
      </w:rPr>
      <w:t xml:space="preserve">29.09.2022. 20.15</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22-TA-1013</w:t>
    </w:r>
    <w:r>
      <w:br/>
    </w:r>
    <w:r w:rsidR="00000000" w:rsidRPr="00000000" w:rsidDel="00000000">
      <w:rPr>
        <w:rtl w:val="0"/>
      </w:rPr>
      <w:t xml:space="preserve">29.09.2022. 20.15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Izziņa_22-TA-1013.docx</dc:title>
</cp:coreProperties>
</file>

<file path=docProps/custom.xml><?xml version="1.0" encoding="utf-8"?>
<Properties xmlns="http://schemas.openxmlformats.org/officeDocument/2006/custom-properties" xmlns:vt="http://schemas.openxmlformats.org/officeDocument/2006/docPropsVTypes"/>
</file>