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F48F6C4" w14:textId="77777777" w:rsidR="002100AC" w:rsidRDefault="00000000">
      <w:pPr>
        <w:spacing w:after="240"/>
        <w:jc w:val="center"/>
        <w:rPr>
          <w:b/>
        </w:rPr>
      </w:pPr>
      <w:r>
        <w:rPr>
          <w:b/>
        </w:rPr>
        <w:t>Sabiedrības iebildumi un priekšlikumi</w:t>
      </w:r>
    </w:p>
    <w:tbl>
      <w:tblPr>
        <w:tblStyle w:val="1"/>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837"/>
        <w:gridCol w:w="2835"/>
        <w:gridCol w:w="4536"/>
        <w:gridCol w:w="1203"/>
        <w:gridCol w:w="4156"/>
      </w:tblGrid>
      <w:tr w:rsidR="002100AC" w14:paraId="24DE8ED8" w14:textId="77777777" w:rsidTr="0081780F">
        <w:tc>
          <w:tcPr>
            <w:tcW w:w="1837" w:type="dxa"/>
            <w:shd w:val="clear" w:color="auto" w:fill="FFFFFF"/>
            <w:noWrap/>
            <w:tcMar>
              <w:top w:w="75" w:type="dxa"/>
              <w:left w:w="75" w:type="dxa"/>
              <w:bottom w:w="75" w:type="dxa"/>
              <w:right w:w="75" w:type="dxa"/>
            </w:tcMar>
            <w:vAlign w:val="center"/>
          </w:tcPr>
          <w:p w14:paraId="5D2FB324" w14:textId="77777777" w:rsidR="002100AC" w:rsidRDefault="00000000">
            <w:pPr>
              <w:jc w:val="center"/>
            </w:pPr>
            <w:proofErr w:type="spellStart"/>
            <w:r>
              <w:rPr>
                <w:b/>
              </w:rPr>
              <w:t>Nr.p.k</w:t>
            </w:r>
            <w:proofErr w:type="spellEnd"/>
            <w:r>
              <w:rPr>
                <w:b/>
              </w:rPr>
              <w:t>.</w:t>
            </w:r>
          </w:p>
        </w:tc>
        <w:tc>
          <w:tcPr>
            <w:tcW w:w="2835" w:type="dxa"/>
            <w:shd w:val="clear" w:color="auto" w:fill="FFFFFF"/>
            <w:noWrap/>
            <w:tcMar>
              <w:top w:w="75" w:type="dxa"/>
              <w:left w:w="75" w:type="dxa"/>
              <w:bottom w:w="75" w:type="dxa"/>
              <w:right w:w="75" w:type="dxa"/>
            </w:tcMar>
            <w:vAlign w:val="center"/>
          </w:tcPr>
          <w:p w14:paraId="09F84253" w14:textId="77777777" w:rsidR="002100AC" w:rsidRDefault="00000000">
            <w:pPr>
              <w:jc w:val="center"/>
            </w:pPr>
            <w:r>
              <w:rPr>
                <w:b/>
              </w:rPr>
              <w:t>Iebilduma / priekšlikuma iesniedzējs</w:t>
            </w:r>
          </w:p>
        </w:tc>
        <w:tc>
          <w:tcPr>
            <w:tcW w:w="4536" w:type="dxa"/>
            <w:shd w:val="clear" w:color="auto" w:fill="FFFFFF"/>
            <w:noWrap/>
            <w:tcMar>
              <w:top w:w="75" w:type="dxa"/>
              <w:left w:w="75" w:type="dxa"/>
              <w:bottom w:w="75" w:type="dxa"/>
              <w:right w:w="75" w:type="dxa"/>
            </w:tcMar>
            <w:vAlign w:val="center"/>
          </w:tcPr>
          <w:p w14:paraId="14152041" w14:textId="77777777" w:rsidR="002100AC" w:rsidRDefault="00000000">
            <w:pPr>
              <w:jc w:val="center"/>
            </w:pPr>
            <w:r>
              <w:rPr>
                <w:b/>
              </w:rPr>
              <w:t>Iesniegtā iebilduma / priekšlikuma būtība</w:t>
            </w:r>
          </w:p>
        </w:tc>
        <w:tc>
          <w:tcPr>
            <w:tcW w:w="1203" w:type="dxa"/>
            <w:shd w:val="clear" w:color="auto" w:fill="FFFFFF"/>
            <w:noWrap/>
            <w:tcMar>
              <w:top w:w="75" w:type="dxa"/>
              <w:left w:w="75" w:type="dxa"/>
              <w:bottom w:w="75" w:type="dxa"/>
              <w:right w:w="75" w:type="dxa"/>
            </w:tcMar>
            <w:vAlign w:val="center"/>
          </w:tcPr>
          <w:p w14:paraId="098316A3" w14:textId="77777777" w:rsidR="002100AC"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05082776" w14:textId="77777777" w:rsidR="002100AC" w:rsidRDefault="00000000">
            <w:pPr>
              <w:jc w:val="center"/>
            </w:pPr>
            <w:r>
              <w:rPr>
                <w:b/>
              </w:rPr>
              <w:t>Pamatojums, ja iebildums / priekšlikums nav ņemts vērā</w:t>
            </w:r>
          </w:p>
        </w:tc>
      </w:tr>
      <w:tr w:rsidR="00FF023C" w14:paraId="44BD58EE" w14:textId="77777777" w:rsidTr="00917E31">
        <w:trPr>
          <w:trHeight w:val="8049"/>
        </w:trPr>
        <w:tc>
          <w:tcPr>
            <w:tcW w:w="1837" w:type="dxa"/>
            <w:shd w:val="clear" w:color="auto" w:fill="FFFFFF"/>
            <w:noWrap/>
            <w:tcMar>
              <w:top w:w="75" w:type="dxa"/>
              <w:left w:w="75" w:type="dxa"/>
              <w:bottom w:w="75" w:type="dxa"/>
              <w:right w:w="75" w:type="dxa"/>
            </w:tcMar>
            <w:vAlign w:val="center"/>
          </w:tcPr>
          <w:p w14:paraId="091AB80F" w14:textId="77777777" w:rsidR="00FF023C" w:rsidRDefault="00FF023C">
            <w:pPr>
              <w:jc w:val="center"/>
            </w:pPr>
            <w:r>
              <w:lastRenderedPageBreak/>
              <w:t>1.</w:t>
            </w:r>
          </w:p>
        </w:tc>
        <w:tc>
          <w:tcPr>
            <w:tcW w:w="2835" w:type="dxa"/>
            <w:shd w:val="clear" w:color="auto" w:fill="FFFFFF"/>
            <w:noWrap/>
            <w:tcMar>
              <w:top w:w="75" w:type="dxa"/>
              <w:left w:w="75" w:type="dxa"/>
              <w:bottom w:w="75" w:type="dxa"/>
              <w:right w:w="75" w:type="dxa"/>
            </w:tcMar>
            <w:vAlign w:val="center"/>
          </w:tcPr>
          <w:p w14:paraId="6113C4C7" w14:textId="77777777" w:rsidR="00FF023C" w:rsidRDefault="00FF023C">
            <w:pPr>
              <w:jc w:val="left"/>
            </w:pPr>
            <w:r>
              <w:t xml:space="preserve">LATVIJAS PELDĒŠANAS FEDERĀCIJA, Aivars </w:t>
            </w:r>
            <w:proofErr w:type="spellStart"/>
            <w:r>
              <w:t>Platonovs</w:t>
            </w:r>
            <w:proofErr w:type="spellEnd"/>
          </w:p>
        </w:tc>
        <w:tc>
          <w:tcPr>
            <w:tcW w:w="4536" w:type="dxa"/>
            <w:shd w:val="clear" w:color="auto" w:fill="FFFFFF"/>
            <w:noWrap/>
            <w:tcMar>
              <w:top w:w="75" w:type="dxa"/>
              <w:left w:w="75" w:type="dxa"/>
              <w:bottom w:w="75" w:type="dxa"/>
              <w:right w:w="75" w:type="dxa"/>
            </w:tcMar>
            <w:vAlign w:val="center"/>
          </w:tcPr>
          <w:p w14:paraId="3B54643F" w14:textId="0AD28810" w:rsidR="00FF023C" w:rsidRDefault="00FF023C" w:rsidP="00144755">
            <w:r>
              <w:t xml:space="preserve">Informatīvais ziņojums "Mirstības mazināšana ārēju nāves cēloņu (ĀNC) dēļ" sniedz visaptverošu ieskatu par situāciju Latvijā, tomēr tajā </w:t>
            </w:r>
            <w:r w:rsidRPr="00AF3EC9">
              <w:rPr>
                <w:u w:val="single"/>
              </w:rPr>
              <w:t>iztrūkst detalizētāka analīze par ārējiem nāves cēloņiem dažādās vecuma grupās</w:t>
            </w:r>
            <w:r>
              <w:t xml:space="preserve"> un to </w:t>
            </w:r>
            <w:proofErr w:type="spellStart"/>
            <w:r>
              <w:t>prioritizēšanu</w:t>
            </w:r>
            <w:proofErr w:type="spellEnd"/>
            <w:r>
              <w:t>.:</w:t>
            </w:r>
            <w:r>
              <w:br/>
            </w:r>
          </w:p>
          <w:p w14:paraId="5B2C5B87" w14:textId="77777777" w:rsidR="00FF023C" w:rsidRDefault="00FF023C" w:rsidP="00770E8E">
            <w:r>
              <w:br/>
            </w:r>
          </w:p>
          <w:p w14:paraId="4E710260" w14:textId="4FC03E1B" w:rsidR="00FF023C" w:rsidRDefault="00FF023C" w:rsidP="00144755">
            <w:r>
              <w:t xml:space="preserve">Ņemot vērā, ka </w:t>
            </w:r>
            <w:bookmarkStart w:id="0" w:name="_Hlk169605362"/>
            <w:r>
              <w:t>bērni un jaunieši ir vismazāk pasargātā sabiedrības grupa</w:t>
            </w:r>
            <w:bookmarkEnd w:id="0"/>
            <w:r>
              <w:t xml:space="preserve">, kura vienlaikus rada vislielāko emocionālo un arī sociālekonomisko zaudējumu sabiedrībai, </w:t>
            </w:r>
            <w:r w:rsidRPr="002E1F1E">
              <w:rPr>
                <w:u w:val="single"/>
              </w:rPr>
              <w:t>būtu nepieciešams atsevišķi izdalīt un analizēt ĀNC attiecīgajā vecuma grupā.</w:t>
            </w:r>
            <w:r>
              <w:t> </w:t>
            </w:r>
            <w:r>
              <w:br/>
              <w:t xml:space="preserve">Biedrība "Latvijas Peldēšanas federācija", kas </w:t>
            </w:r>
            <w:bookmarkStart w:id="1" w:name="_Hlk169605431"/>
            <w:r>
              <w:t xml:space="preserve">cita starpā aktīvi darbojas sabiedrības izglītošanā par drošību uz ūdens un bērnu </w:t>
            </w:r>
            <w:proofErr w:type="spellStart"/>
            <w:r>
              <w:t>peldētapmācības</w:t>
            </w:r>
            <w:proofErr w:type="spellEnd"/>
            <w:r>
              <w:t xml:space="preserve"> programmu ieviešanas veicināšanā</w:t>
            </w:r>
            <w:bookmarkEnd w:id="1"/>
            <w:r>
              <w:t>, ierosina izvērtēt šādus priekšlikumus</w:t>
            </w:r>
          </w:p>
        </w:tc>
        <w:tc>
          <w:tcPr>
            <w:tcW w:w="1203" w:type="dxa"/>
            <w:shd w:val="clear" w:color="auto" w:fill="FFFFFF"/>
            <w:noWrap/>
            <w:tcMar>
              <w:top w:w="75" w:type="dxa"/>
              <w:left w:w="75" w:type="dxa"/>
              <w:bottom w:w="75" w:type="dxa"/>
              <w:right w:w="75" w:type="dxa"/>
            </w:tcMar>
            <w:vAlign w:val="center"/>
          </w:tcPr>
          <w:p w14:paraId="4C59D420" w14:textId="5633BA5A" w:rsidR="00FF023C" w:rsidRDefault="00FF023C">
            <w:pPr>
              <w:jc w:val="left"/>
            </w:pPr>
            <w:r>
              <w:t>Ņemts vērā</w:t>
            </w:r>
          </w:p>
          <w:p w14:paraId="6074EEEB" w14:textId="2FD2194F" w:rsidR="00FF023C" w:rsidRDefault="00FF023C" w:rsidP="00A92A40">
            <w:pPr>
              <w:jc w:val="left"/>
            </w:pPr>
          </w:p>
        </w:tc>
        <w:tc>
          <w:tcPr>
            <w:tcW w:w="4156" w:type="dxa"/>
            <w:shd w:val="clear" w:color="auto" w:fill="FFFFFF"/>
            <w:noWrap/>
            <w:tcMar>
              <w:top w:w="75" w:type="dxa"/>
              <w:left w:w="75" w:type="dxa"/>
              <w:bottom w:w="75" w:type="dxa"/>
              <w:right w:w="75" w:type="dxa"/>
            </w:tcMar>
            <w:vAlign w:val="center"/>
          </w:tcPr>
          <w:p w14:paraId="53CDD394" w14:textId="645AA7B1" w:rsidR="00FF023C" w:rsidRDefault="00FF023C">
            <w:pPr>
              <w:jc w:val="left"/>
            </w:pPr>
            <w:r>
              <w:t xml:space="preserve">Katrā ĀNC jomā tiek identificētas galvenajās vecuma grupas, kuros notiek skaitliski visvairāk nāves gadījumu.  </w:t>
            </w:r>
          </w:p>
          <w:p w14:paraId="240DFFD6" w14:textId="77777777" w:rsidR="00FF023C" w:rsidRDefault="00FF023C">
            <w:pPr>
              <w:jc w:val="left"/>
            </w:pPr>
          </w:p>
          <w:p w14:paraId="00F59880" w14:textId="77777777" w:rsidR="00FF023C" w:rsidRPr="00B5602D" w:rsidRDefault="00FF023C" w:rsidP="0005019A">
            <w:pPr>
              <w:spacing w:after="180"/>
              <w:rPr>
                <w:rFonts w:cstheme="minorHAnsi"/>
                <w:szCs w:val="28"/>
              </w:rPr>
            </w:pPr>
            <w:r w:rsidRPr="00B5602D">
              <w:rPr>
                <w:szCs w:val="28"/>
              </w:rPr>
              <w:t>61.lpp rakstīts “</w:t>
            </w:r>
            <w:r w:rsidRPr="00B5602D">
              <w:rPr>
                <w:rFonts w:cstheme="minorHAnsi"/>
                <w:b/>
                <w:bCs/>
                <w:szCs w:val="28"/>
              </w:rPr>
              <w:t>Bērniem un jauniešiem 1</w:t>
            </w:r>
            <w:r w:rsidRPr="00B5602D">
              <w:rPr>
                <w:rFonts w:cstheme="minorHAnsi"/>
                <w:szCs w:val="28"/>
              </w:rPr>
              <w:t>–</w:t>
            </w:r>
            <w:r w:rsidRPr="00B5602D">
              <w:rPr>
                <w:rFonts w:cstheme="minorHAnsi"/>
                <w:b/>
                <w:bCs/>
                <w:szCs w:val="28"/>
              </w:rPr>
              <w:t>24. g. v.</w:t>
            </w:r>
            <w:r w:rsidRPr="00B5602D">
              <w:rPr>
                <w:rFonts w:cstheme="minorHAnsi"/>
                <w:szCs w:val="28"/>
              </w:rPr>
              <w:t xml:space="preserve"> galvenie riski ir: 1) transporta negadījumi; 2) </w:t>
            </w:r>
            <w:r w:rsidRPr="00B5602D">
              <w:rPr>
                <w:rFonts w:cstheme="minorHAnsi"/>
                <w:b/>
                <w:bCs/>
                <w:szCs w:val="28"/>
              </w:rPr>
              <w:t>noslīkšana</w:t>
            </w:r>
            <w:r w:rsidRPr="00B5602D">
              <w:rPr>
                <w:rFonts w:cstheme="minorHAnsi"/>
                <w:szCs w:val="28"/>
              </w:rPr>
              <w:t>; 3) uguns, dūmu un liesmu iedarbe.”</w:t>
            </w:r>
          </w:p>
          <w:p w14:paraId="68E8188D" w14:textId="77777777" w:rsidR="00FF023C" w:rsidRPr="00B5602D" w:rsidRDefault="00FF023C" w:rsidP="0005019A">
            <w:pPr>
              <w:spacing w:after="180"/>
              <w:rPr>
                <w:rFonts w:cstheme="minorHAnsi"/>
                <w:szCs w:val="28"/>
              </w:rPr>
            </w:pPr>
            <w:proofErr w:type="spellStart"/>
            <w:r w:rsidRPr="00B5602D">
              <w:rPr>
                <w:rFonts w:cstheme="minorHAnsi"/>
                <w:szCs w:val="28"/>
              </w:rPr>
              <w:t>Protollēmumā</w:t>
            </w:r>
            <w:proofErr w:type="spellEnd"/>
            <w:r w:rsidRPr="00B5602D">
              <w:rPr>
                <w:rFonts w:cstheme="minorHAnsi"/>
                <w:szCs w:val="28"/>
              </w:rPr>
              <w:t xml:space="preserve"> 3.3.punktā </w:t>
            </w:r>
            <w:r>
              <w:rPr>
                <w:rFonts w:cstheme="minorHAnsi"/>
                <w:szCs w:val="28"/>
              </w:rPr>
              <w:t>nosauktā</w:t>
            </w:r>
            <w:r w:rsidRPr="00B5602D">
              <w:rPr>
                <w:rFonts w:cstheme="minorHAnsi"/>
                <w:szCs w:val="28"/>
              </w:rPr>
              <w:t xml:space="preserve"> </w:t>
            </w:r>
            <w:r w:rsidRPr="00FF023C">
              <w:rPr>
                <w:rFonts w:cstheme="minorHAnsi"/>
                <w:i/>
                <w:iCs/>
                <w:szCs w:val="28"/>
              </w:rPr>
              <w:t>Slīkšanas un noslīkšanas gadījumu mazināšanas darba grupa</w:t>
            </w:r>
            <w:r w:rsidRPr="00B5602D">
              <w:rPr>
                <w:rFonts w:cstheme="minorHAnsi"/>
                <w:szCs w:val="28"/>
              </w:rPr>
              <w:t xml:space="preserve"> </w:t>
            </w:r>
            <w:r>
              <w:rPr>
                <w:rFonts w:cstheme="minorHAnsi"/>
                <w:szCs w:val="28"/>
              </w:rPr>
              <w:t>arī</w:t>
            </w:r>
            <w:r w:rsidRPr="00B5602D">
              <w:rPr>
                <w:rFonts w:cstheme="minorHAnsi"/>
                <w:szCs w:val="28"/>
              </w:rPr>
              <w:t xml:space="preserve"> skatī</w:t>
            </w:r>
            <w:r>
              <w:rPr>
                <w:rFonts w:cstheme="minorHAnsi"/>
                <w:szCs w:val="28"/>
              </w:rPr>
              <w:t>s</w:t>
            </w:r>
            <w:r w:rsidRPr="00B5602D">
              <w:rPr>
                <w:rFonts w:cstheme="minorHAnsi"/>
                <w:szCs w:val="28"/>
              </w:rPr>
              <w:t xml:space="preserve"> arī šīs </w:t>
            </w:r>
            <w:proofErr w:type="spellStart"/>
            <w:r w:rsidRPr="00B5602D">
              <w:rPr>
                <w:rFonts w:cstheme="minorHAnsi"/>
                <w:szCs w:val="28"/>
              </w:rPr>
              <w:t>mērķgrupas</w:t>
            </w:r>
            <w:proofErr w:type="spellEnd"/>
            <w:r w:rsidRPr="00B5602D">
              <w:rPr>
                <w:rFonts w:cstheme="minorHAnsi"/>
                <w:szCs w:val="28"/>
              </w:rPr>
              <w:t xml:space="preserve"> vajadzības. </w:t>
            </w:r>
          </w:p>
          <w:p w14:paraId="00FEA99B" w14:textId="29BADF33" w:rsidR="00FF023C" w:rsidRDefault="00FF023C" w:rsidP="00021586">
            <w:pPr>
              <w:jc w:val="left"/>
            </w:pPr>
          </w:p>
        </w:tc>
      </w:tr>
      <w:tr w:rsidR="00B5602D" w14:paraId="4A68FD2E" w14:textId="77777777" w:rsidTr="003808C6">
        <w:trPr>
          <w:trHeight w:val="17708"/>
        </w:trPr>
        <w:tc>
          <w:tcPr>
            <w:tcW w:w="1837" w:type="dxa"/>
            <w:shd w:val="clear" w:color="auto" w:fill="FFFFFF"/>
            <w:noWrap/>
            <w:tcMar>
              <w:top w:w="75" w:type="dxa"/>
              <w:left w:w="75" w:type="dxa"/>
              <w:bottom w:w="75" w:type="dxa"/>
              <w:right w:w="75" w:type="dxa"/>
            </w:tcMar>
            <w:vAlign w:val="center"/>
          </w:tcPr>
          <w:p w14:paraId="25D29C5A" w14:textId="77777777" w:rsidR="00B5602D" w:rsidRDefault="00B5602D">
            <w:pPr>
              <w:jc w:val="center"/>
            </w:pPr>
          </w:p>
        </w:tc>
        <w:tc>
          <w:tcPr>
            <w:tcW w:w="2835" w:type="dxa"/>
            <w:shd w:val="clear" w:color="auto" w:fill="FFFFFF"/>
            <w:noWrap/>
            <w:tcMar>
              <w:top w:w="75" w:type="dxa"/>
              <w:left w:w="75" w:type="dxa"/>
              <w:bottom w:w="75" w:type="dxa"/>
              <w:right w:w="75" w:type="dxa"/>
            </w:tcMar>
            <w:vAlign w:val="center"/>
          </w:tcPr>
          <w:p w14:paraId="1BC4FC2B" w14:textId="77777777" w:rsidR="00B5602D" w:rsidRDefault="00B5602D">
            <w:pPr>
              <w:jc w:val="left"/>
            </w:pPr>
          </w:p>
        </w:tc>
        <w:tc>
          <w:tcPr>
            <w:tcW w:w="4536" w:type="dxa"/>
            <w:shd w:val="clear" w:color="auto" w:fill="FFFFFF"/>
            <w:noWrap/>
            <w:tcMar>
              <w:top w:w="75" w:type="dxa"/>
              <w:left w:w="75" w:type="dxa"/>
              <w:bottom w:w="75" w:type="dxa"/>
              <w:right w:w="75" w:type="dxa"/>
            </w:tcMar>
            <w:vAlign w:val="center"/>
          </w:tcPr>
          <w:p w14:paraId="69410B0B" w14:textId="77777777" w:rsidR="00B5602D" w:rsidRDefault="00B5602D" w:rsidP="00144755">
            <w:r>
              <w:t xml:space="preserve">1) Ziņojuma sadaļā "Noslīkšana un slīkšana" problēmas analīzē izvēlētie akcenti, kas vērsti pamatā uz faktu, ka lielākā daļa noslīkušo ir pieaugušie, kas lietojuši apreibinošās vielas, visticamāk, rada maldīgu priekšstatu, ka problēmas pamatcēlonis ir “alkohols” nevis noslīkšana. Norādām, ka visās attīstītajās valstīs (dati par ES ir pieejami publiski) alkohols ir viens no dominējošiem noslīkšanu (kā arī citus ĀNC) veicinošiem apstākļiem, taču par spīti tam tikai Latvijā kopējais noslīkušo skaits ir ievērojami lielāks. </w:t>
            </w:r>
          </w:p>
          <w:p w14:paraId="7F519ADB" w14:textId="77777777" w:rsidR="00B5602D" w:rsidRDefault="00B5602D" w:rsidP="00144755"/>
          <w:p w14:paraId="78AEB90B" w14:textId="77777777" w:rsidR="00B5602D" w:rsidRDefault="00B5602D" w:rsidP="00144755">
            <w:r>
              <w:t>Savulaik veicām analīzi par šo un secinājām, ka pat pilnībā izņemot no statistikas tos gadījumus, kas saistīti ar alkohola lietošanu, Latvijā noslīkušo skaits pārsniegtu vidējo ES rādītāju. Salīdzinājumam – arī Igaunijā katrs otrais noslīkšanas gadījums ir saistīts ar alkohola lietošanu, taču kopējais noslīkušo skaits uz 100k ir 2x mazāks.</w:t>
            </w:r>
            <w:r>
              <w:br/>
            </w:r>
          </w:p>
          <w:p w14:paraId="5F9A5CE2" w14:textId="77777777" w:rsidR="00B5602D" w:rsidRDefault="00B5602D" w:rsidP="00144755">
            <w:r>
              <w:t xml:space="preserve">Proti, apreibinošo vielu lietošana, atpūšoties pie ūdens, </w:t>
            </w:r>
            <w:r w:rsidRPr="002E1F1E">
              <w:rPr>
                <w:u w:val="single"/>
              </w:rPr>
              <w:t>ir problēma</w:t>
            </w:r>
            <w:r>
              <w:t xml:space="preserve">, taču tā nav unikāla Latvijai un nav </w:t>
            </w:r>
            <w:r>
              <w:lastRenderedPageBreak/>
              <w:t xml:space="preserve">būtiskākais iemesls, kāpēc Latvija ir vadošā pēc noslīkušo skaita visā ES, </w:t>
            </w:r>
            <w:r w:rsidRPr="00B53FE1">
              <w:t>tāpēc nevaram piekrist ziņojuma 38.lpp paustajam apgalvojumam</w:t>
            </w:r>
            <w:r>
              <w:t>: “Tomēr slīkšanās jomā, salīdzinot ar citām ĀNC grupām, notiek aktīva sadarbība, kuru iniciē un uztur pilsoniskā sabiedrība,</w:t>
            </w:r>
            <w:r>
              <w:rPr>
                <w:b/>
                <w:u w:val="single"/>
              </w:rPr>
              <w:t xml:space="preserve"> taču darbība ne vienmēr ir vērsta uz galvenajiem riskiem, kas veicina noslīkšanu”</w:t>
            </w:r>
            <w:r>
              <w:t>.</w:t>
            </w:r>
          </w:p>
          <w:p w14:paraId="6F0ABE6E" w14:textId="3FEA298F" w:rsidR="00B5602D" w:rsidRDefault="00B5602D" w:rsidP="00212A42">
            <w:r>
              <w:t>Balstoties uz LPF un tās partneru veikto analīzi, kā arī teorētiskajiem materiāliem, LPF uzsver, ka būtiskākie soļi noslīkšanas risku mazināšanai ir “Noslīkšanas novēršanas stratēģijas projektā” minētie rīcības virzieni:</w:t>
            </w:r>
            <w:r>
              <w:br/>
              <w:t>1. Informēta un izglītota sabiedrība;</w:t>
            </w:r>
            <w:r>
              <w:br/>
              <w:t>2. Drošību uz ūdens un drošas aktivitātes ūdenī veicinošs normatīvais regulējums;</w:t>
            </w:r>
            <w:r>
              <w:br/>
              <w:t>3. Labiekārtotas un drošas peldvietas;</w:t>
            </w:r>
            <w:r>
              <w:br/>
              <w:t>4. Vadošo noslīkšanas cēloņu un faktoru novēršana;</w:t>
            </w:r>
            <w:r>
              <w:br/>
              <w:t>5. Vienota statistikas datu uzskaite un analīze.</w:t>
            </w:r>
            <w:r>
              <w:br/>
              <w:t>2) Statistikas dati. Bērnu un jauniešu nāves gadījumi.</w:t>
            </w:r>
          </w:p>
        </w:tc>
        <w:tc>
          <w:tcPr>
            <w:tcW w:w="1203" w:type="dxa"/>
            <w:shd w:val="clear" w:color="auto" w:fill="FFFFFF"/>
            <w:noWrap/>
            <w:tcMar>
              <w:top w:w="75" w:type="dxa"/>
              <w:left w:w="75" w:type="dxa"/>
              <w:bottom w:w="75" w:type="dxa"/>
              <w:right w:w="75" w:type="dxa"/>
            </w:tcMar>
            <w:vAlign w:val="center"/>
          </w:tcPr>
          <w:p w14:paraId="0A3886BD" w14:textId="64C18CE7" w:rsidR="00B5602D" w:rsidRDefault="00B5602D">
            <w:pPr>
              <w:jc w:val="left"/>
            </w:pPr>
            <w:r>
              <w:lastRenderedPageBreak/>
              <w:t>Daļēji ņemts vērā</w:t>
            </w:r>
          </w:p>
        </w:tc>
        <w:tc>
          <w:tcPr>
            <w:tcW w:w="4156" w:type="dxa"/>
            <w:shd w:val="clear" w:color="auto" w:fill="FFFFFF"/>
            <w:noWrap/>
            <w:tcMar>
              <w:top w:w="75" w:type="dxa"/>
              <w:left w:w="75" w:type="dxa"/>
              <w:bottom w:w="75" w:type="dxa"/>
              <w:right w:w="75" w:type="dxa"/>
            </w:tcMar>
            <w:vAlign w:val="center"/>
          </w:tcPr>
          <w:p w14:paraId="5A711FE5" w14:textId="1F7CC6AD" w:rsidR="00B5602D" w:rsidRPr="00FF023C" w:rsidRDefault="00B5602D">
            <w:pPr>
              <w:jc w:val="left"/>
              <w:rPr>
                <w:szCs w:val="28"/>
              </w:rPr>
            </w:pPr>
            <w:r>
              <w:t>Ziņojuma mērķis ir mazināt mirstību no ĀNC visas jomās un visu vecum</w:t>
            </w:r>
            <w:r w:rsidR="00F548E1">
              <w:t>u</w:t>
            </w:r>
            <w:r>
              <w:t xml:space="preserve"> </w:t>
            </w:r>
            <w:r w:rsidRPr="00FF023C">
              <w:rPr>
                <w:szCs w:val="28"/>
              </w:rPr>
              <w:t xml:space="preserve">personām.  Tas, ka problēma nav unikāla Latvijai nenozīmē, ka problēma nav jārisina. Arī bērnus ietekmē atkarību izraisošo vielu risks. </w:t>
            </w:r>
          </w:p>
          <w:p w14:paraId="6348E7A9" w14:textId="77777777" w:rsidR="00B5602D" w:rsidRPr="00FF023C" w:rsidRDefault="00B5602D">
            <w:pPr>
              <w:jc w:val="left"/>
              <w:rPr>
                <w:szCs w:val="28"/>
              </w:rPr>
            </w:pPr>
          </w:p>
          <w:p w14:paraId="47724D88" w14:textId="10DEA6E7" w:rsidR="00B5602D" w:rsidRPr="00FF023C" w:rsidRDefault="00B5602D">
            <w:pPr>
              <w:jc w:val="left"/>
              <w:rPr>
                <w:szCs w:val="28"/>
              </w:rPr>
            </w:pPr>
            <w:r w:rsidRPr="00FF023C">
              <w:rPr>
                <w:szCs w:val="28"/>
              </w:rPr>
              <w:t xml:space="preserve">: </w:t>
            </w:r>
          </w:p>
          <w:p w14:paraId="67113D2E" w14:textId="77777777" w:rsidR="00B5602D" w:rsidRPr="00FF023C" w:rsidRDefault="00B5602D">
            <w:pPr>
              <w:jc w:val="left"/>
              <w:rPr>
                <w:szCs w:val="28"/>
              </w:rPr>
            </w:pPr>
          </w:p>
          <w:p w14:paraId="11A98218" w14:textId="77777777" w:rsidR="00B5602D" w:rsidRPr="00FF023C" w:rsidRDefault="00B5602D">
            <w:pPr>
              <w:jc w:val="left"/>
              <w:rPr>
                <w:szCs w:val="28"/>
              </w:rPr>
            </w:pPr>
            <w:r w:rsidRPr="00FF023C">
              <w:rPr>
                <w:szCs w:val="28"/>
              </w:rPr>
              <w:t>Pārveidota un pildināta sistēmas sadaļa (38.lpp)</w:t>
            </w:r>
          </w:p>
          <w:p w14:paraId="2EF09A5A" w14:textId="77777777" w:rsidR="00B5602D" w:rsidRPr="00FF023C" w:rsidRDefault="00B5602D">
            <w:pPr>
              <w:jc w:val="left"/>
              <w:rPr>
                <w:szCs w:val="28"/>
              </w:rPr>
            </w:pPr>
          </w:p>
          <w:p w14:paraId="5F5E3B0C" w14:textId="77777777" w:rsidR="00B5602D" w:rsidRPr="00FF023C" w:rsidRDefault="00B5602D" w:rsidP="00B5602D">
            <w:pPr>
              <w:pStyle w:val="NoSpacing"/>
              <w:rPr>
                <w:rFonts w:ascii="Times New Roman" w:hAnsi="Times New Roman" w:cs="Times New Roman"/>
                <w:sz w:val="28"/>
                <w:szCs w:val="28"/>
              </w:rPr>
            </w:pPr>
            <w:r w:rsidRPr="00FF023C">
              <w:rPr>
                <w:rFonts w:ascii="Times New Roman" w:hAnsi="Times New Roman" w:cs="Times New Roman"/>
                <w:sz w:val="28"/>
                <w:szCs w:val="28"/>
              </w:rPr>
              <w:t xml:space="preserve">Formāla, koordinēta sistēma mirstības mazināšanai no slīkšanas nepastāv. Tomēr slīkšanās jomā, salīdzinot ar citām ĀNC grupām, notiek aktīva sadarbība, kuru iniciē un uztur pilsoniskā sabiedrība Tā ir vairāk vērsta uz bērnu un jauniešu izglītošanu un pārsvarā noris sekojošos rīcības virzienos: 1) sabiedrības informēšana un izglītošana; 2) izmaiņas normatīvajā regulējumā; 3) labiekārtotas un drošas peldvietas, 4) vadošo noslīkšanas </w:t>
            </w:r>
            <w:proofErr w:type="spellStart"/>
            <w:r w:rsidRPr="00FF023C">
              <w:rPr>
                <w:rFonts w:ascii="Times New Roman" w:hAnsi="Times New Roman" w:cs="Times New Roman"/>
                <w:sz w:val="28"/>
                <w:szCs w:val="28"/>
              </w:rPr>
              <w:t>cēļoņu</w:t>
            </w:r>
            <w:proofErr w:type="spellEnd"/>
            <w:r w:rsidRPr="00FF023C">
              <w:rPr>
                <w:rFonts w:ascii="Times New Roman" w:hAnsi="Times New Roman" w:cs="Times New Roman"/>
                <w:sz w:val="28"/>
                <w:szCs w:val="28"/>
              </w:rPr>
              <w:t xml:space="preserve"> un </w:t>
            </w:r>
            <w:r w:rsidRPr="00FF023C">
              <w:rPr>
                <w:rFonts w:ascii="Times New Roman" w:hAnsi="Times New Roman" w:cs="Times New Roman"/>
                <w:sz w:val="28"/>
                <w:szCs w:val="28"/>
              </w:rPr>
              <w:lastRenderedPageBreak/>
              <w:t xml:space="preserve">faktoru novēršana; 5) vienota statistikas datu uzskate un analīze. </w:t>
            </w:r>
          </w:p>
          <w:p w14:paraId="3595AF0B" w14:textId="7BAC92B3" w:rsidR="00B5602D" w:rsidRDefault="00B5602D" w:rsidP="00F548E1">
            <w:pPr>
              <w:pStyle w:val="NoSpacing"/>
            </w:pPr>
          </w:p>
        </w:tc>
      </w:tr>
      <w:tr w:rsidR="002E1F1E" w14:paraId="0B039512" w14:textId="77777777" w:rsidTr="0081780F">
        <w:tc>
          <w:tcPr>
            <w:tcW w:w="1837" w:type="dxa"/>
            <w:shd w:val="clear" w:color="auto" w:fill="FFFFFF"/>
            <w:noWrap/>
            <w:tcMar>
              <w:top w:w="75" w:type="dxa"/>
              <w:left w:w="75" w:type="dxa"/>
              <w:bottom w:w="75" w:type="dxa"/>
              <w:right w:w="75" w:type="dxa"/>
            </w:tcMar>
            <w:vAlign w:val="center"/>
          </w:tcPr>
          <w:p w14:paraId="09FA1691" w14:textId="77777777" w:rsidR="002E1F1E" w:rsidRDefault="002E1F1E">
            <w:pPr>
              <w:jc w:val="center"/>
            </w:pPr>
          </w:p>
        </w:tc>
        <w:tc>
          <w:tcPr>
            <w:tcW w:w="2835" w:type="dxa"/>
            <w:shd w:val="clear" w:color="auto" w:fill="FFFFFF"/>
            <w:noWrap/>
            <w:tcMar>
              <w:top w:w="75" w:type="dxa"/>
              <w:left w:w="75" w:type="dxa"/>
              <w:bottom w:w="75" w:type="dxa"/>
              <w:right w:w="75" w:type="dxa"/>
            </w:tcMar>
            <w:vAlign w:val="center"/>
          </w:tcPr>
          <w:p w14:paraId="5A407391" w14:textId="77777777" w:rsidR="002E1F1E" w:rsidRDefault="002E1F1E">
            <w:pPr>
              <w:jc w:val="left"/>
            </w:pPr>
          </w:p>
        </w:tc>
        <w:tc>
          <w:tcPr>
            <w:tcW w:w="4536" w:type="dxa"/>
            <w:shd w:val="clear" w:color="auto" w:fill="FFFFFF"/>
            <w:noWrap/>
            <w:tcMar>
              <w:top w:w="75" w:type="dxa"/>
              <w:left w:w="75" w:type="dxa"/>
              <w:bottom w:w="75" w:type="dxa"/>
              <w:right w:w="75" w:type="dxa"/>
            </w:tcMar>
            <w:vAlign w:val="center"/>
          </w:tcPr>
          <w:p w14:paraId="746D665E" w14:textId="77777777" w:rsidR="00642987" w:rsidRDefault="00642987" w:rsidP="00642987">
            <w:bookmarkStart w:id="2" w:name="_Hlk169787979"/>
            <w:r>
              <w:t xml:space="preserve">Aicinu ziņojumā iekļaut atsevišķu rindkopu par noslīkušo statistiku vecuma grupā 0-19 (vai pat – 0-24) gadi, akcentējot, ka laika posmā no 2018.gada līdz 2022.gadam ieskaitot noslīkšanas rezultātā dzīvību zaudējuši 44 bērni, kas ir 22% no visiem ārējiem nāves cēloņiem attiecīgajā vecuma grupā. </w:t>
            </w:r>
          </w:p>
          <w:bookmarkEnd w:id="2"/>
          <w:p w14:paraId="23FD1152" w14:textId="77777777" w:rsidR="00642987" w:rsidRDefault="00642987" w:rsidP="00642987"/>
          <w:p w14:paraId="759E7909" w14:textId="3E8E434B" w:rsidR="002E1F1E" w:rsidRPr="00212A42" w:rsidRDefault="00642987" w:rsidP="00642987">
            <w:bookmarkStart w:id="3" w:name="_Hlk169788062"/>
            <w:r>
              <w:t xml:space="preserve">Vairāk bojā iet tikai CSN – 28%. Vienlaikus jāatzīmē kāda būtiska tendence – ja </w:t>
            </w:r>
            <w:bookmarkStart w:id="4" w:name="_Hlk169788394"/>
            <w:r>
              <w:t>CSN bojāgājušo bērnu īpatsvars ir ar tendenci samazināties, tad noslīkšanas ailēs mēs šādu tendenci nenovērojam.</w:t>
            </w:r>
            <w:bookmarkEnd w:id="4"/>
            <w:r>
              <w:t xml:space="preserve"> </w:t>
            </w:r>
            <w:bookmarkEnd w:id="3"/>
            <w:r>
              <w:t>Zīmīgi, ka 2020.gadā noslīkušo bērnu skaits bija vienāds ar CSN bojāgājušo, bet gadu vēlāk tas teju divas reizes pārsniedza CSN bojāgājušo bērnu skaitu! Arī 2022.gadā tas bija vienāds – katrā pa 7 zaudētām dzīvībām (2018.gadā CSN gāja bojā 2x vairāk bērnu nekā noslīka). Šī ir vēl viena būtiska lieta, kas būtu jāņem vērā!</w:t>
            </w:r>
            <w:r>
              <w:br/>
              <w:t>avots: https://statistika.spkc.gov.lv/</w:t>
            </w:r>
            <w:bookmarkStart w:id="5" w:name="_Hlk169788622"/>
            <w:r>
              <w:t xml:space="preserve">Atbilstoši teorijai būtiskākos uzlabojumus </w:t>
            </w:r>
            <w:r>
              <w:lastRenderedPageBreak/>
              <w:t>ilgtermiņā noslīkšanas risku mazināšanai var panākt tikai un vienīgi mērķtiecīgi un kvalitatīvi strādājot ar bērniem – tas nedot tūlītēju rezultātu, taču veidu kumulatīvu efektu (bērni, kas ir iemācīti peldēt un uzvesties droši pie ūdens, to iemācīs arī saviem bērniem, utt.).</w:t>
            </w:r>
            <w:bookmarkEnd w:id="5"/>
            <w:r>
              <w:t xml:space="preserve"> Līdzīgi kā tas ir novērots arī CS drošības kampaņās</w:t>
            </w:r>
          </w:p>
        </w:tc>
        <w:tc>
          <w:tcPr>
            <w:tcW w:w="1203" w:type="dxa"/>
            <w:shd w:val="clear" w:color="auto" w:fill="FFFFFF"/>
            <w:noWrap/>
            <w:tcMar>
              <w:top w:w="75" w:type="dxa"/>
              <w:left w:w="75" w:type="dxa"/>
              <w:bottom w:w="75" w:type="dxa"/>
              <w:right w:w="75" w:type="dxa"/>
            </w:tcMar>
            <w:vAlign w:val="center"/>
          </w:tcPr>
          <w:p w14:paraId="5B9635AB" w14:textId="77777777" w:rsidR="002E1F1E" w:rsidRDefault="002E1F1E">
            <w:pPr>
              <w:jc w:val="left"/>
            </w:pPr>
          </w:p>
        </w:tc>
        <w:tc>
          <w:tcPr>
            <w:tcW w:w="4156" w:type="dxa"/>
            <w:shd w:val="clear" w:color="auto" w:fill="FFFFFF"/>
            <w:noWrap/>
            <w:tcMar>
              <w:top w:w="75" w:type="dxa"/>
              <w:left w:w="75" w:type="dxa"/>
              <w:bottom w:w="75" w:type="dxa"/>
              <w:right w:w="75" w:type="dxa"/>
            </w:tcMar>
            <w:vAlign w:val="center"/>
          </w:tcPr>
          <w:p w14:paraId="7BBB8EB4" w14:textId="422FB510" w:rsidR="00055C01" w:rsidRPr="00FF023C" w:rsidRDefault="00AC33FF">
            <w:pPr>
              <w:jc w:val="left"/>
              <w:rPr>
                <w:szCs w:val="28"/>
              </w:rPr>
            </w:pPr>
            <w:r w:rsidRPr="00FF023C">
              <w:rPr>
                <w:szCs w:val="28"/>
              </w:rPr>
              <w:t>Papildināta sadaļa Ekspertu  ieteikumi (41.lpp.)</w:t>
            </w:r>
          </w:p>
          <w:p w14:paraId="6C5DFC9D" w14:textId="77777777" w:rsidR="00AC33FF" w:rsidRPr="00FF023C" w:rsidRDefault="00AC33FF">
            <w:pPr>
              <w:jc w:val="left"/>
              <w:rPr>
                <w:szCs w:val="28"/>
              </w:rPr>
            </w:pPr>
          </w:p>
          <w:p w14:paraId="5F9AE426" w14:textId="5BDFFD3C" w:rsidR="00AC33FF" w:rsidRPr="00FF023C" w:rsidRDefault="00680A3C">
            <w:pPr>
              <w:jc w:val="left"/>
              <w:rPr>
                <w:szCs w:val="28"/>
              </w:rPr>
            </w:pPr>
            <w:r w:rsidRPr="00680A3C">
              <w:rPr>
                <w:rStyle w:val="Hyperlink"/>
                <w:color w:val="auto"/>
                <w:szCs w:val="28"/>
                <w:u w:val="none"/>
              </w:rPr>
              <w:t>Latvijas Peldēšanas federācija vērš uzmanību, ka atbilstoši teorijai būtiskākos uzlabojumus ilgtermiņā noslīkšanas risku mazināšanai var panākt tikai un vienīgi mērķtiecīgi un kvalitatīvi strādājot ar bērniem – tas nedotu tūlītēju rezultātu, taču radītu kumulatīvu efektu (bērni, kas ir iemācīti peldēt un uzvesties droši pie ūdens, to iemācīs arī saviem bērniem, utt.).</w:t>
            </w:r>
          </w:p>
          <w:p w14:paraId="77B78BF6" w14:textId="77777777" w:rsidR="00055C01" w:rsidRPr="00FF023C" w:rsidRDefault="00055C01">
            <w:pPr>
              <w:jc w:val="left"/>
              <w:rPr>
                <w:szCs w:val="28"/>
              </w:rPr>
            </w:pPr>
          </w:p>
          <w:p w14:paraId="74C0C7F0" w14:textId="09FA70A4" w:rsidR="002E1F1E" w:rsidRPr="00FF023C" w:rsidRDefault="00055C01">
            <w:pPr>
              <w:jc w:val="left"/>
              <w:rPr>
                <w:szCs w:val="28"/>
              </w:rPr>
            </w:pPr>
            <w:r w:rsidRPr="00FF023C">
              <w:rPr>
                <w:szCs w:val="28"/>
              </w:rPr>
              <w:t xml:space="preserve">Papildināts </w:t>
            </w:r>
            <w:r w:rsidR="00680A3C">
              <w:rPr>
                <w:szCs w:val="28"/>
              </w:rPr>
              <w:t>6</w:t>
            </w:r>
            <w:r w:rsidRPr="00FF023C">
              <w:rPr>
                <w:szCs w:val="28"/>
              </w:rPr>
              <w:t>. secinājums par slīkšanu un noslīkšanu 43.lpp.</w:t>
            </w:r>
          </w:p>
          <w:p w14:paraId="6ECDA99F" w14:textId="77777777" w:rsidR="00680A3C" w:rsidRPr="00FF023C" w:rsidRDefault="00680A3C" w:rsidP="00680A3C">
            <w:pPr>
              <w:jc w:val="left"/>
              <w:rPr>
                <w:szCs w:val="28"/>
              </w:rPr>
            </w:pPr>
          </w:p>
          <w:p w14:paraId="62F1228F" w14:textId="77777777" w:rsidR="00680A3C" w:rsidRPr="00FF023C" w:rsidRDefault="00680A3C" w:rsidP="00680A3C">
            <w:pPr>
              <w:spacing w:after="180"/>
              <w:rPr>
                <w:szCs w:val="28"/>
              </w:rPr>
            </w:pPr>
            <w:r w:rsidRPr="00FF023C">
              <w:rPr>
                <w:szCs w:val="28"/>
                <w:u w:val="single"/>
              </w:rPr>
              <w:t>Darbs ar bērniem nedod tūlītēju rezultātu, taču rada kumulatīvu efektu (bērni, kas ir iemācīti peldēt un uzvesties droši pie ūdens, to iemācīs arī saviem bērniem, utt.).</w:t>
            </w:r>
            <w:r w:rsidRPr="00FF023C">
              <w:rPr>
                <w:szCs w:val="28"/>
              </w:rPr>
              <w:t xml:space="preserve"> Visiem bērniem Latvijā nav vienādas iespējas apgūt </w:t>
            </w:r>
            <w:proofErr w:type="spellStart"/>
            <w:r w:rsidRPr="00FF023C">
              <w:rPr>
                <w:szCs w:val="28"/>
              </w:rPr>
              <w:t>peldētprasmes</w:t>
            </w:r>
            <w:proofErr w:type="spellEnd"/>
            <w:r w:rsidRPr="00FF023C">
              <w:rPr>
                <w:szCs w:val="28"/>
              </w:rPr>
              <w:t xml:space="preserve"> un drošības uz ūdens prasmes, jo nav piešķirts finansējums IZM plānotās </w:t>
            </w:r>
            <w:r w:rsidRPr="00FF023C">
              <w:rPr>
                <w:szCs w:val="28"/>
              </w:rPr>
              <w:lastRenderedPageBreak/>
              <w:t xml:space="preserve">programmas “Drošība uz ūdens” uzsākšanai 2. un 3.klases bērniem. </w:t>
            </w:r>
          </w:p>
          <w:p w14:paraId="2C95D470" w14:textId="6280CF20" w:rsidR="00055C01" w:rsidRDefault="00055C01">
            <w:pPr>
              <w:jc w:val="left"/>
            </w:pPr>
          </w:p>
        </w:tc>
      </w:tr>
      <w:tr w:rsidR="002E1F1E" w14:paraId="48C1D72F" w14:textId="77777777" w:rsidTr="0081780F">
        <w:tc>
          <w:tcPr>
            <w:tcW w:w="1837" w:type="dxa"/>
            <w:shd w:val="clear" w:color="auto" w:fill="FFFFFF"/>
            <w:noWrap/>
            <w:tcMar>
              <w:top w:w="75" w:type="dxa"/>
              <w:left w:w="75" w:type="dxa"/>
              <w:bottom w:w="75" w:type="dxa"/>
              <w:right w:w="75" w:type="dxa"/>
            </w:tcMar>
            <w:vAlign w:val="center"/>
          </w:tcPr>
          <w:p w14:paraId="237A98DA" w14:textId="2E65896D" w:rsidR="002E1F1E" w:rsidRDefault="00881965">
            <w:pPr>
              <w:jc w:val="center"/>
            </w:pPr>
            <w:r>
              <w:lastRenderedPageBreak/>
              <w:t>2.</w:t>
            </w:r>
          </w:p>
        </w:tc>
        <w:tc>
          <w:tcPr>
            <w:tcW w:w="2835" w:type="dxa"/>
            <w:shd w:val="clear" w:color="auto" w:fill="FFFFFF"/>
            <w:noWrap/>
            <w:tcMar>
              <w:top w:w="75" w:type="dxa"/>
              <w:left w:w="75" w:type="dxa"/>
              <w:bottom w:w="75" w:type="dxa"/>
              <w:right w:w="75" w:type="dxa"/>
            </w:tcMar>
            <w:vAlign w:val="center"/>
          </w:tcPr>
          <w:p w14:paraId="31469759" w14:textId="62E011C2" w:rsidR="002E1F1E" w:rsidRDefault="00881965">
            <w:pPr>
              <w:jc w:val="left"/>
            </w:pPr>
            <w:r>
              <w:t xml:space="preserve">LATVIJAS PELDĒŠANAS FEDERĀCIJA, Aivars </w:t>
            </w:r>
            <w:proofErr w:type="spellStart"/>
            <w:r>
              <w:t>Platonovs</w:t>
            </w:r>
            <w:proofErr w:type="spellEnd"/>
          </w:p>
        </w:tc>
        <w:tc>
          <w:tcPr>
            <w:tcW w:w="4536" w:type="dxa"/>
            <w:shd w:val="clear" w:color="auto" w:fill="FFFFFF"/>
            <w:noWrap/>
            <w:tcMar>
              <w:top w:w="75" w:type="dxa"/>
              <w:left w:w="75" w:type="dxa"/>
              <w:bottom w:w="75" w:type="dxa"/>
              <w:right w:w="75" w:type="dxa"/>
            </w:tcMar>
            <w:vAlign w:val="center"/>
          </w:tcPr>
          <w:p w14:paraId="7C28F4FD" w14:textId="541A6EA2" w:rsidR="002E1F1E" w:rsidRPr="00212A42" w:rsidRDefault="002E1F1E" w:rsidP="00212A42">
            <w:r>
              <w:t>3) komentāri par ekspertu ieteikumiem:</w:t>
            </w:r>
            <w:r>
              <w:br/>
              <w:t>Atkārtošos, ka balstoties uz mūsu veikto analīzi, kā arī teorētiskajiem materiāliem (pētījumiem), paliekam pie pozīcijas, ka būtiskākie soļi noslīkšanas risku mazināšanai ir “Noslīkšanas novēršanas stratēģijas projektā” minētie rīcības virzieni:</w:t>
            </w:r>
            <w:r>
              <w:br/>
              <w:t>1. Informēta un izglītota sabiedrība;</w:t>
            </w:r>
            <w:r>
              <w:br/>
              <w:t>2. Drošību uz ūdens un drošas aktivitātes ūdenī veicinošs normatīvais regulējums;</w:t>
            </w:r>
            <w:r>
              <w:br/>
              <w:t>3. Labiekārtotas un drošas peldvietas;</w:t>
            </w:r>
            <w:r>
              <w:br/>
              <w:t>4. Vadošo noslīkšanas cēloņu un faktoru novēršana;</w:t>
            </w:r>
            <w:r>
              <w:br/>
              <w:t>5. Vienota statistikas datu uzskaite un analīze.</w:t>
            </w:r>
          </w:p>
        </w:tc>
        <w:tc>
          <w:tcPr>
            <w:tcW w:w="1203" w:type="dxa"/>
            <w:shd w:val="clear" w:color="auto" w:fill="FFFFFF"/>
            <w:noWrap/>
            <w:tcMar>
              <w:top w:w="75" w:type="dxa"/>
              <w:left w:w="75" w:type="dxa"/>
              <w:bottom w:w="75" w:type="dxa"/>
              <w:right w:w="75" w:type="dxa"/>
            </w:tcMar>
            <w:vAlign w:val="center"/>
          </w:tcPr>
          <w:p w14:paraId="4A4B8EF0" w14:textId="77777777" w:rsidR="002E1F1E" w:rsidRDefault="002E1F1E">
            <w:pPr>
              <w:jc w:val="left"/>
            </w:pPr>
          </w:p>
        </w:tc>
        <w:tc>
          <w:tcPr>
            <w:tcW w:w="4156" w:type="dxa"/>
            <w:shd w:val="clear" w:color="auto" w:fill="FFFFFF"/>
            <w:noWrap/>
            <w:tcMar>
              <w:top w:w="75" w:type="dxa"/>
              <w:left w:w="75" w:type="dxa"/>
              <w:bottom w:w="75" w:type="dxa"/>
              <w:right w:w="75" w:type="dxa"/>
            </w:tcMar>
            <w:vAlign w:val="center"/>
          </w:tcPr>
          <w:p w14:paraId="0BEE954A" w14:textId="6A3DBA32" w:rsidR="00FF023C" w:rsidRPr="00FF023C" w:rsidRDefault="00FF023C" w:rsidP="00FF023C">
            <w:pPr>
              <w:jc w:val="left"/>
              <w:rPr>
                <w:szCs w:val="28"/>
              </w:rPr>
            </w:pPr>
            <w:r w:rsidRPr="00FF023C">
              <w:rPr>
                <w:szCs w:val="28"/>
              </w:rPr>
              <w:t>Pārveidota un pildināta sistēmas sadaļa (38.lpp)</w:t>
            </w:r>
            <w:r w:rsidR="00881965">
              <w:rPr>
                <w:szCs w:val="28"/>
              </w:rPr>
              <w:t xml:space="preserve"> -</w:t>
            </w:r>
            <w:r w:rsidR="00EB1D24">
              <w:rPr>
                <w:szCs w:val="28"/>
              </w:rPr>
              <w:t xml:space="preserve"> r</w:t>
            </w:r>
            <w:r w:rsidR="00881965">
              <w:rPr>
                <w:szCs w:val="28"/>
              </w:rPr>
              <w:t>īcības virzieni ir nosaukti.</w:t>
            </w:r>
          </w:p>
          <w:p w14:paraId="4FB75EEF" w14:textId="77777777" w:rsidR="002E1F1E" w:rsidRDefault="002E1F1E">
            <w:pPr>
              <w:jc w:val="left"/>
            </w:pPr>
          </w:p>
        </w:tc>
      </w:tr>
      <w:tr w:rsidR="002E1F1E" w14:paraId="4903CED9" w14:textId="77777777" w:rsidTr="0081780F">
        <w:tc>
          <w:tcPr>
            <w:tcW w:w="1837" w:type="dxa"/>
            <w:shd w:val="clear" w:color="auto" w:fill="FFFFFF"/>
            <w:noWrap/>
            <w:tcMar>
              <w:top w:w="75" w:type="dxa"/>
              <w:left w:w="75" w:type="dxa"/>
              <w:bottom w:w="75" w:type="dxa"/>
              <w:right w:w="75" w:type="dxa"/>
            </w:tcMar>
            <w:vAlign w:val="center"/>
          </w:tcPr>
          <w:p w14:paraId="085ECC75" w14:textId="679BBCC9" w:rsidR="002E1F1E" w:rsidRDefault="00881965">
            <w:pPr>
              <w:jc w:val="center"/>
            </w:pPr>
            <w:r>
              <w:lastRenderedPageBreak/>
              <w:t>3.</w:t>
            </w:r>
          </w:p>
        </w:tc>
        <w:tc>
          <w:tcPr>
            <w:tcW w:w="2835" w:type="dxa"/>
            <w:shd w:val="clear" w:color="auto" w:fill="FFFFFF"/>
            <w:noWrap/>
            <w:tcMar>
              <w:top w:w="75" w:type="dxa"/>
              <w:left w:w="75" w:type="dxa"/>
              <w:bottom w:w="75" w:type="dxa"/>
              <w:right w:w="75" w:type="dxa"/>
            </w:tcMar>
            <w:vAlign w:val="center"/>
          </w:tcPr>
          <w:p w14:paraId="37D66192" w14:textId="49161D36" w:rsidR="002E1F1E" w:rsidRDefault="00881965">
            <w:pPr>
              <w:jc w:val="left"/>
            </w:pPr>
            <w:r>
              <w:t xml:space="preserve">LATVIJAS PELDĒŠANAS FEDERĀCIJA, Aivars </w:t>
            </w:r>
            <w:proofErr w:type="spellStart"/>
            <w:r>
              <w:t>Platonovs</w:t>
            </w:r>
            <w:proofErr w:type="spellEnd"/>
          </w:p>
        </w:tc>
        <w:tc>
          <w:tcPr>
            <w:tcW w:w="4536" w:type="dxa"/>
            <w:shd w:val="clear" w:color="auto" w:fill="FFFFFF"/>
            <w:noWrap/>
            <w:tcMar>
              <w:top w:w="75" w:type="dxa"/>
              <w:left w:w="75" w:type="dxa"/>
              <w:bottom w:w="75" w:type="dxa"/>
              <w:right w:w="75" w:type="dxa"/>
            </w:tcMar>
            <w:vAlign w:val="center"/>
          </w:tcPr>
          <w:p w14:paraId="3669F94D" w14:textId="66B7827C" w:rsidR="002E1F1E" w:rsidRPr="00212A42" w:rsidRDefault="002E1F1E" w:rsidP="00212A42">
            <w:r>
              <w:t>4) Komentāri par secinājumiem:  </w:t>
            </w:r>
            <w:r>
              <w:br/>
              <w:t>4.1. Ierosinām attiecīgās sadaļas pirmo secinājumu izteikt šādā redakcijā:</w:t>
            </w:r>
            <w:r>
              <w:br/>
            </w:r>
            <w:bookmarkStart w:id="6" w:name="_Hlk169790456"/>
            <w:r>
              <w:t xml:space="preserve">Noslīkšanas un slīkšanas gadījumu augstais īpatsvars ir saistīts ar iedzīvotāju zemām </w:t>
            </w:r>
            <w:proofErr w:type="spellStart"/>
            <w:r>
              <w:t>peldētprasmēm</w:t>
            </w:r>
            <w:proofErr w:type="spellEnd"/>
            <w:r>
              <w:t xml:space="preserve">, neatbilstošu pašvērtējumu, pārgalvīgu rīcību alkohola un </w:t>
            </w:r>
            <w:proofErr w:type="spellStart"/>
            <w:r>
              <w:t>psihoaktīvo</w:t>
            </w:r>
            <w:proofErr w:type="spellEnd"/>
            <w:r>
              <w:t xml:space="preserve"> vielu lietošanas rezultātā, kā arī atpūtu nepiemērotās un bez glābēju uzraudzības esošās peldvietās, tāpēc akcents ir liekams uz preventīvu rīcību visu augstāk minēto riska faktoru mazināšanā;</w:t>
            </w:r>
            <w:bookmarkEnd w:id="6"/>
          </w:p>
        </w:tc>
        <w:tc>
          <w:tcPr>
            <w:tcW w:w="1203" w:type="dxa"/>
            <w:shd w:val="clear" w:color="auto" w:fill="FFFFFF"/>
            <w:noWrap/>
            <w:tcMar>
              <w:top w:w="75" w:type="dxa"/>
              <w:left w:w="75" w:type="dxa"/>
              <w:bottom w:w="75" w:type="dxa"/>
              <w:right w:w="75" w:type="dxa"/>
            </w:tcMar>
            <w:vAlign w:val="center"/>
          </w:tcPr>
          <w:p w14:paraId="1A8DE1F5" w14:textId="76C2DBD8" w:rsidR="002E1F1E" w:rsidRDefault="004208D9">
            <w:pPr>
              <w:jc w:val="left"/>
            </w:pPr>
            <w:r>
              <w:t>Daļēji ņemts vērā</w:t>
            </w:r>
          </w:p>
        </w:tc>
        <w:tc>
          <w:tcPr>
            <w:tcW w:w="4156" w:type="dxa"/>
            <w:shd w:val="clear" w:color="auto" w:fill="FFFFFF"/>
            <w:noWrap/>
            <w:tcMar>
              <w:top w:w="75" w:type="dxa"/>
              <w:left w:w="75" w:type="dxa"/>
              <w:bottom w:w="75" w:type="dxa"/>
              <w:right w:w="75" w:type="dxa"/>
            </w:tcMar>
            <w:vAlign w:val="center"/>
          </w:tcPr>
          <w:p w14:paraId="6305A4C4" w14:textId="73066E5A" w:rsidR="002E1F1E" w:rsidRDefault="004208D9">
            <w:pPr>
              <w:jc w:val="left"/>
            </w:pPr>
            <w:r>
              <w:t xml:space="preserve">Pievienots </w:t>
            </w:r>
            <w:r w:rsidR="00E55FDB">
              <w:t xml:space="preserve">jauns </w:t>
            </w:r>
            <w:r>
              <w:t xml:space="preserve">pirmais secinājums, mazliet to modificējos. </w:t>
            </w:r>
          </w:p>
          <w:p w14:paraId="06F1E76B" w14:textId="77777777" w:rsidR="004208D9" w:rsidRPr="00EB1D24" w:rsidRDefault="004208D9" w:rsidP="00EB1D24">
            <w:pPr>
              <w:jc w:val="left"/>
            </w:pPr>
          </w:p>
          <w:p w14:paraId="50222575" w14:textId="3A60EFE4" w:rsidR="004208D9" w:rsidRPr="00E55FDB" w:rsidRDefault="00680A3C" w:rsidP="00E55FDB">
            <w:pPr>
              <w:rPr>
                <w:sz w:val="24"/>
                <w:szCs w:val="24"/>
              </w:rPr>
            </w:pPr>
            <w:r w:rsidRPr="004F16F1">
              <w:rPr>
                <w:szCs w:val="28"/>
              </w:rPr>
              <w:t xml:space="preserve">Noslīkšanas un slīkšanas gadījumu augstais īpatsvars ir saistīts ar pārgalvīgu rīcību alkohola un </w:t>
            </w:r>
            <w:proofErr w:type="spellStart"/>
            <w:r w:rsidRPr="004F16F1">
              <w:rPr>
                <w:szCs w:val="28"/>
              </w:rPr>
              <w:t>psihoaktīvo</w:t>
            </w:r>
            <w:proofErr w:type="spellEnd"/>
            <w:r w:rsidRPr="004F16F1">
              <w:rPr>
                <w:szCs w:val="28"/>
              </w:rPr>
              <w:t xml:space="preserve"> vielu lietošanas rezultātā, iedzīvotāju zemām </w:t>
            </w:r>
            <w:proofErr w:type="spellStart"/>
            <w:r w:rsidRPr="004F16F1">
              <w:rPr>
                <w:szCs w:val="28"/>
              </w:rPr>
              <w:t>peldētprasmēm</w:t>
            </w:r>
            <w:proofErr w:type="spellEnd"/>
            <w:r w:rsidRPr="004F16F1">
              <w:rPr>
                <w:szCs w:val="28"/>
              </w:rPr>
              <w:t>, neatbilstošu pašvērtējumu, kā arī atpūtu nepiemērotās un bez glābēju uzraudzības esošās peldvietās, tāpēc svarīga preventīva rīcība visu augstāk minēto riska faktoru mazināšanā.</w:t>
            </w:r>
          </w:p>
        </w:tc>
      </w:tr>
      <w:tr w:rsidR="002E1F1E" w14:paraId="7CC52292" w14:textId="77777777" w:rsidTr="0081780F">
        <w:tc>
          <w:tcPr>
            <w:tcW w:w="1837" w:type="dxa"/>
            <w:shd w:val="clear" w:color="auto" w:fill="FFFFFF"/>
            <w:noWrap/>
            <w:tcMar>
              <w:top w:w="75" w:type="dxa"/>
              <w:left w:w="75" w:type="dxa"/>
              <w:bottom w:w="75" w:type="dxa"/>
              <w:right w:w="75" w:type="dxa"/>
            </w:tcMar>
            <w:vAlign w:val="center"/>
          </w:tcPr>
          <w:p w14:paraId="32233067" w14:textId="77777777" w:rsidR="002E1F1E" w:rsidRDefault="002E1F1E">
            <w:pPr>
              <w:jc w:val="center"/>
            </w:pPr>
          </w:p>
        </w:tc>
        <w:tc>
          <w:tcPr>
            <w:tcW w:w="2835" w:type="dxa"/>
            <w:shd w:val="clear" w:color="auto" w:fill="FFFFFF"/>
            <w:noWrap/>
            <w:tcMar>
              <w:top w:w="75" w:type="dxa"/>
              <w:left w:w="75" w:type="dxa"/>
              <w:bottom w:w="75" w:type="dxa"/>
              <w:right w:w="75" w:type="dxa"/>
            </w:tcMar>
            <w:vAlign w:val="center"/>
          </w:tcPr>
          <w:p w14:paraId="0B04A388" w14:textId="77777777" w:rsidR="002E1F1E" w:rsidRDefault="002E1F1E">
            <w:pPr>
              <w:jc w:val="left"/>
            </w:pPr>
          </w:p>
        </w:tc>
        <w:tc>
          <w:tcPr>
            <w:tcW w:w="4536" w:type="dxa"/>
            <w:shd w:val="clear" w:color="auto" w:fill="FFFFFF"/>
            <w:noWrap/>
            <w:tcMar>
              <w:top w:w="75" w:type="dxa"/>
              <w:left w:w="75" w:type="dxa"/>
              <w:bottom w:w="75" w:type="dxa"/>
              <w:right w:w="75" w:type="dxa"/>
            </w:tcMar>
            <w:vAlign w:val="center"/>
          </w:tcPr>
          <w:p w14:paraId="4C025027" w14:textId="2DBCACBA" w:rsidR="002E1F1E" w:rsidRPr="00212A42" w:rsidRDefault="002E1F1E" w:rsidP="00212A42">
            <w:r>
              <w:t>4.2. Ierosinu otro secinājumu izteikt šādā redakcijā:</w:t>
            </w:r>
            <w:r>
              <w:br/>
              <w:t>Nav konstatēts, ka stratēģiskā komunikācija par noslīkšanu un slīkšanu ņemtu vērā augsto vīriešu īpatsvaru starp šādiem nāves gadījumiem, kā arī proporcionāli lielo noslīkšanas gadījumu skaitu no visiem ĀNC bērnu un jauniešu vidū.</w:t>
            </w:r>
          </w:p>
        </w:tc>
        <w:tc>
          <w:tcPr>
            <w:tcW w:w="1203" w:type="dxa"/>
            <w:shd w:val="clear" w:color="auto" w:fill="FFFFFF"/>
            <w:noWrap/>
            <w:tcMar>
              <w:top w:w="75" w:type="dxa"/>
              <w:left w:w="75" w:type="dxa"/>
              <w:bottom w:w="75" w:type="dxa"/>
              <w:right w:w="75" w:type="dxa"/>
            </w:tcMar>
            <w:vAlign w:val="center"/>
          </w:tcPr>
          <w:p w14:paraId="0FC9C768" w14:textId="2C8FF88D" w:rsidR="002E1F1E" w:rsidRDefault="004208D9">
            <w:pPr>
              <w:jc w:val="left"/>
            </w:pPr>
            <w:r>
              <w:t>Nav ņemts vērā</w:t>
            </w:r>
          </w:p>
        </w:tc>
        <w:tc>
          <w:tcPr>
            <w:tcW w:w="4156" w:type="dxa"/>
            <w:shd w:val="clear" w:color="auto" w:fill="FFFFFF"/>
            <w:noWrap/>
            <w:tcMar>
              <w:top w:w="75" w:type="dxa"/>
              <w:left w:w="75" w:type="dxa"/>
              <w:bottom w:w="75" w:type="dxa"/>
              <w:right w:w="75" w:type="dxa"/>
            </w:tcMar>
            <w:vAlign w:val="center"/>
          </w:tcPr>
          <w:p w14:paraId="63EA69A1" w14:textId="77777777" w:rsidR="002E1F1E" w:rsidRDefault="004208D9">
            <w:pPr>
              <w:jc w:val="left"/>
            </w:pPr>
            <w:r>
              <w:t xml:space="preserve">Komunikācija par slīkšanu norāda uz proporcionāli lielo </w:t>
            </w:r>
            <w:r w:rsidR="00110E51">
              <w:t>noslīkšanas gadījumu skaitu bērnu un jauniešu vidū.</w:t>
            </w:r>
            <w:r w:rsidR="00EF1EA4">
              <w:t xml:space="preserve"> </w:t>
            </w:r>
          </w:p>
          <w:p w14:paraId="339D5425" w14:textId="77777777" w:rsidR="00EF1EA4" w:rsidRDefault="00EF1EA4">
            <w:pPr>
              <w:jc w:val="left"/>
            </w:pPr>
          </w:p>
          <w:p w14:paraId="4AF38F16" w14:textId="7271888F" w:rsidR="00EF1EA4" w:rsidRDefault="00EF1EA4">
            <w:pPr>
              <w:jc w:val="left"/>
            </w:pPr>
            <w:r>
              <w:t xml:space="preserve">Avoti: lps.lv, Rīta Panorāma, Diena, La.lv, vesels.lv, māmiņu klubs, </w:t>
            </w:r>
            <w:proofErr w:type="spellStart"/>
            <w:r>
              <w:t>mamamuntetiem</w:t>
            </w:r>
            <w:proofErr w:type="spellEnd"/>
            <w:r>
              <w:t>, u.c.</w:t>
            </w:r>
          </w:p>
        </w:tc>
      </w:tr>
      <w:tr w:rsidR="002E1F1E" w14:paraId="4A47F4AE" w14:textId="77777777" w:rsidTr="0081780F">
        <w:tc>
          <w:tcPr>
            <w:tcW w:w="1837" w:type="dxa"/>
            <w:shd w:val="clear" w:color="auto" w:fill="FFFFFF"/>
            <w:noWrap/>
            <w:tcMar>
              <w:top w:w="75" w:type="dxa"/>
              <w:left w:w="75" w:type="dxa"/>
              <w:bottom w:w="75" w:type="dxa"/>
              <w:right w:w="75" w:type="dxa"/>
            </w:tcMar>
            <w:vAlign w:val="center"/>
          </w:tcPr>
          <w:p w14:paraId="33A4480F" w14:textId="77777777" w:rsidR="002E1F1E" w:rsidRDefault="002E1F1E">
            <w:pPr>
              <w:jc w:val="center"/>
            </w:pPr>
          </w:p>
        </w:tc>
        <w:tc>
          <w:tcPr>
            <w:tcW w:w="2835" w:type="dxa"/>
            <w:shd w:val="clear" w:color="auto" w:fill="FFFFFF"/>
            <w:noWrap/>
            <w:tcMar>
              <w:top w:w="75" w:type="dxa"/>
              <w:left w:w="75" w:type="dxa"/>
              <w:bottom w:w="75" w:type="dxa"/>
              <w:right w:w="75" w:type="dxa"/>
            </w:tcMar>
            <w:vAlign w:val="center"/>
          </w:tcPr>
          <w:p w14:paraId="406D46AF" w14:textId="77777777" w:rsidR="002E1F1E" w:rsidRDefault="002E1F1E">
            <w:pPr>
              <w:jc w:val="left"/>
            </w:pPr>
          </w:p>
        </w:tc>
        <w:tc>
          <w:tcPr>
            <w:tcW w:w="4536" w:type="dxa"/>
            <w:shd w:val="clear" w:color="auto" w:fill="FFFFFF"/>
            <w:noWrap/>
            <w:tcMar>
              <w:top w:w="75" w:type="dxa"/>
              <w:left w:w="75" w:type="dxa"/>
              <w:bottom w:w="75" w:type="dxa"/>
              <w:right w:w="75" w:type="dxa"/>
            </w:tcMar>
            <w:vAlign w:val="center"/>
          </w:tcPr>
          <w:p w14:paraId="3B3D7C3E" w14:textId="328E85AA" w:rsidR="002E1F1E" w:rsidRPr="00212A42" w:rsidRDefault="002E1F1E" w:rsidP="00212A42">
            <w:r>
              <w:t>4.3. starp secinājumiem iekļaut šādu secinājumu (provizoriski):</w:t>
            </w:r>
            <w:r>
              <w:br/>
              <w:t xml:space="preserve">Lai gan vairums noslīkušo ir pieauguši </w:t>
            </w:r>
            <w:r>
              <w:lastRenderedPageBreak/>
              <w:t xml:space="preserve">vīrieši, kas lietojuši alkoholu un </w:t>
            </w:r>
            <w:proofErr w:type="spellStart"/>
            <w:r>
              <w:t>psihoaktīvas</w:t>
            </w:r>
            <w:proofErr w:type="spellEnd"/>
            <w:r>
              <w:t xml:space="preserve"> vielas, noslīkšana ir viens no dominējošiem </w:t>
            </w:r>
            <w:bookmarkStart w:id="7" w:name="_Hlk169791257"/>
            <w:r>
              <w:t xml:space="preserve">ĀNC arī bērnu un jauniešu vidū, kas ir vismazāk aizsargātā sabiedrības daļa, </w:t>
            </w:r>
            <w:bookmarkStart w:id="8" w:name="_Hlk169791529"/>
            <w:r>
              <w:t>tāpēc nepieciešams koncentrēties</w:t>
            </w:r>
            <w:bookmarkEnd w:id="8"/>
            <w:r>
              <w:t xml:space="preserve"> uz tādiem preventīviem pasākumiem, kas mazina noslīkšanas riskus attiecīgajās vecuma grupās (proti: </w:t>
            </w:r>
            <w:bookmarkStart w:id="9" w:name="_Hlk169791577"/>
            <w:r>
              <w:t xml:space="preserve">bērnu </w:t>
            </w:r>
            <w:proofErr w:type="spellStart"/>
            <w:r>
              <w:t>peldētapmācība</w:t>
            </w:r>
            <w:proofErr w:type="spellEnd"/>
            <w:r>
              <w:t>, sabiedrības izglītošana, drošu piemājas ūdenstilpju regulējuma</w:t>
            </w:r>
            <w:bookmarkEnd w:id="9"/>
            <w:r>
              <w:t xml:space="preserve"> (vai vismaz rekomendāciju) izstrāde).</w:t>
            </w:r>
            <w:bookmarkEnd w:id="7"/>
            <w:r>
              <w:br/>
            </w:r>
            <w:r>
              <w:br/>
            </w:r>
          </w:p>
        </w:tc>
        <w:tc>
          <w:tcPr>
            <w:tcW w:w="1203" w:type="dxa"/>
            <w:shd w:val="clear" w:color="auto" w:fill="FFFFFF"/>
            <w:noWrap/>
            <w:tcMar>
              <w:top w:w="75" w:type="dxa"/>
              <w:left w:w="75" w:type="dxa"/>
              <w:bottom w:w="75" w:type="dxa"/>
              <w:right w:w="75" w:type="dxa"/>
            </w:tcMar>
            <w:vAlign w:val="center"/>
          </w:tcPr>
          <w:p w14:paraId="40D43A1A" w14:textId="4D046B19" w:rsidR="002E1F1E" w:rsidRDefault="00446579">
            <w:pPr>
              <w:jc w:val="left"/>
            </w:pPr>
            <w:r>
              <w:lastRenderedPageBreak/>
              <w:t xml:space="preserve">Daļēji ņemts vērā. </w:t>
            </w:r>
          </w:p>
        </w:tc>
        <w:tc>
          <w:tcPr>
            <w:tcW w:w="4156" w:type="dxa"/>
            <w:shd w:val="clear" w:color="auto" w:fill="FFFFFF"/>
            <w:noWrap/>
            <w:tcMar>
              <w:top w:w="75" w:type="dxa"/>
              <w:left w:w="75" w:type="dxa"/>
              <w:bottom w:w="75" w:type="dxa"/>
              <w:right w:w="75" w:type="dxa"/>
            </w:tcMar>
            <w:vAlign w:val="center"/>
          </w:tcPr>
          <w:p w14:paraId="393B51C7" w14:textId="77777777" w:rsidR="00E55FDB" w:rsidRDefault="00E55FDB">
            <w:pPr>
              <w:jc w:val="left"/>
            </w:pPr>
            <w:r>
              <w:t>Papildināts 6.secinājums.</w:t>
            </w:r>
          </w:p>
          <w:p w14:paraId="72635749" w14:textId="33BD1623" w:rsidR="002E1F1E" w:rsidRDefault="00DD261B">
            <w:pPr>
              <w:jc w:val="left"/>
            </w:pPr>
            <w:r w:rsidRPr="00DD261B">
              <w:t xml:space="preserve">Darbs ar bērniem nedod tūlītēju rezultātu, taču rada kumulatīvu </w:t>
            </w:r>
            <w:r w:rsidRPr="00DD261B">
              <w:lastRenderedPageBreak/>
              <w:t xml:space="preserve">efektu (bērni, kas ir iemācīti peldēt un uzvesties droši pie ūdens, to iemācīs arī saviem bērniem, utt.). Visiem bērniem Latvijā nav vienādas iespējas apgūt </w:t>
            </w:r>
            <w:proofErr w:type="spellStart"/>
            <w:r w:rsidRPr="00DD261B">
              <w:t>peldētprasmes</w:t>
            </w:r>
            <w:proofErr w:type="spellEnd"/>
            <w:r w:rsidRPr="00DD261B">
              <w:t xml:space="preserve"> un drošības uz ūdens prasmes. Tāpēc vecuma grupai nepieciešams nodrošināt šīs prasmes, kā arī veikt sabiedrības izglītošanu. Nav piešķirts finansējums IZM plānotās programmas “Drošība uz ūdens” uzsākšanai 2. un 3.klases bērniem.</w:t>
            </w:r>
          </w:p>
          <w:p w14:paraId="0DC9AB95" w14:textId="77777777" w:rsidR="00DD261B" w:rsidRDefault="00DD261B">
            <w:pPr>
              <w:jc w:val="left"/>
            </w:pPr>
          </w:p>
          <w:p w14:paraId="32DBA476" w14:textId="6D816135" w:rsidR="00DD261B" w:rsidRPr="00DD261B" w:rsidRDefault="00DD261B" w:rsidP="00DD261B">
            <w:pPr>
              <w:jc w:val="left"/>
            </w:pPr>
            <w:r>
              <w:t xml:space="preserve">Informācija par ūdenstilpju drošību minēts 5. </w:t>
            </w:r>
            <w:r w:rsidR="00CC4878" w:rsidRPr="00CC4878">
              <w:t>secinājumā.</w:t>
            </w:r>
            <w:r w:rsidR="00CC4878">
              <w:rPr>
                <w:rFonts w:cstheme="minorHAnsi"/>
                <w:color w:val="000000"/>
                <w:sz w:val="24"/>
                <w:szCs w:val="24"/>
              </w:rPr>
              <w:t xml:space="preserve"> </w:t>
            </w:r>
          </w:p>
          <w:p w14:paraId="28C5E0A5" w14:textId="6A40DD29" w:rsidR="00DD261B" w:rsidRDefault="00DD261B">
            <w:pPr>
              <w:jc w:val="left"/>
            </w:pPr>
          </w:p>
        </w:tc>
      </w:tr>
      <w:tr w:rsidR="002E1F1E" w14:paraId="2ED03881" w14:textId="77777777" w:rsidTr="0081780F">
        <w:tc>
          <w:tcPr>
            <w:tcW w:w="1837" w:type="dxa"/>
            <w:shd w:val="clear" w:color="auto" w:fill="FFFFFF"/>
            <w:noWrap/>
            <w:tcMar>
              <w:top w:w="75" w:type="dxa"/>
              <w:left w:w="75" w:type="dxa"/>
              <w:bottom w:w="75" w:type="dxa"/>
              <w:right w:w="75" w:type="dxa"/>
            </w:tcMar>
            <w:vAlign w:val="center"/>
          </w:tcPr>
          <w:p w14:paraId="45828FC7" w14:textId="77777777" w:rsidR="002E1F1E" w:rsidRDefault="002E1F1E">
            <w:pPr>
              <w:jc w:val="center"/>
            </w:pPr>
          </w:p>
        </w:tc>
        <w:tc>
          <w:tcPr>
            <w:tcW w:w="2835" w:type="dxa"/>
            <w:shd w:val="clear" w:color="auto" w:fill="FFFFFF"/>
            <w:noWrap/>
            <w:tcMar>
              <w:top w:w="75" w:type="dxa"/>
              <w:left w:w="75" w:type="dxa"/>
              <w:bottom w:w="75" w:type="dxa"/>
              <w:right w:w="75" w:type="dxa"/>
            </w:tcMar>
            <w:vAlign w:val="center"/>
          </w:tcPr>
          <w:p w14:paraId="3CD29398" w14:textId="77777777" w:rsidR="002E1F1E" w:rsidRDefault="002E1F1E">
            <w:pPr>
              <w:jc w:val="left"/>
            </w:pPr>
          </w:p>
        </w:tc>
        <w:tc>
          <w:tcPr>
            <w:tcW w:w="4536" w:type="dxa"/>
            <w:shd w:val="clear" w:color="auto" w:fill="FFFFFF"/>
            <w:noWrap/>
            <w:tcMar>
              <w:top w:w="75" w:type="dxa"/>
              <w:left w:w="75" w:type="dxa"/>
              <w:bottom w:w="75" w:type="dxa"/>
              <w:right w:w="75" w:type="dxa"/>
            </w:tcMar>
            <w:vAlign w:val="center"/>
          </w:tcPr>
          <w:p w14:paraId="757500F0" w14:textId="40086090" w:rsidR="002E1F1E" w:rsidRPr="00212A42" w:rsidRDefault="002E1F1E" w:rsidP="00212A42">
            <w:r>
              <w:t>Vienlaikus ierosinām nākotnē papildināt ziņojumu ar sadaļu par datu analīzi par ārstniecības iestādēs nogādāto pacientu skaitu pēc nelaimes gadījumiem uz ūdens. Šādi dati ļautu detalizētāk izvērtēt situāciju un labāk apzināt patieso slīkšanas un noslīkšanas riskam pakļauto personu skatu. </w:t>
            </w:r>
          </w:p>
        </w:tc>
        <w:tc>
          <w:tcPr>
            <w:tcW w:w="1203" w:type="dxa"/>
            <w:shd w:val="clear" w:color="auto" w:fill="FFFFFF"/>
            <w:noWrap/>
            <w:tcMar>
              <w:top w:w="75" w:type="dxa"/>
              <w:left w:w="75" w:type="dxa"/>
              <w:bottom w:w="75" w:type="dxa"/>
              <w:right w:w="75" w:type="dxa"/>
            </w:tcMar>
            <w:vAlign w:val="center"/>
          </w:tcPr>
          <w:p w14:paraId="24B1E569" w14:textId="61CA4A47" w:rsidR="002E1F1E" w:rsidRDefault="00CC4878">
            <w:pPr>
              <w:jc w:val="left"/>
            </w:pPr>
            <w:r>
              <w:t xml:space="preserve">Nav ņemts vērā. </w:t>
            </w:r>
          </w:p>
        </w:tc>
        <w:tc>
          <w:tcPr>
            <w:tcW w:w="4156" w:type="dxa"/>
            <w:shd w:val="clear" w:color="auto" w:fill="FFFFFF"/>
            <w:noWrap/>
            <w:tcMar>
              <w:top w:w="75" w:type="dxa"/>
              <w:left w:w="75" w:type="dxa"/>
              <w:bottom w:w="75" w:type="dxa"/>
              <w:right w:w="75" w:type="dxa"/>
            </w:tcMar>
            <w:vAlign w:val="center"/>
          </w:tcPr>
          <w:p w14:paraId="418F1E39" w14:textId="77777777" w:rsidR="002E1F1E" w:rsidRDefault="00CC4878">
            <w:pPr>
              <w:jc w:val="left"/>
            </w:pPr>
            <w:r>
              <w:t xml:space="preserve">Šo ierosinājumu iesakām izrunāt darba grupā. </w:t>
            </w:r>
          </w:p>
          <w:p w14:paraId="57BAA81D" w14:textId="4F9A15C8" w:rsidR="00CC4878" w:rsidRDefault="00CC4878">
            <w:pPr>
              <w:jc w:val="left"/>
            </w:pPr>
          </w:p>
        </w:tc>
      </w:tr>
      <w:tr w:rsidR="00770E8E" w14:paraId="5D0D1A0C" w14:textId="77777777" w:rsidTr="0081780F">
        <w:tc>
          <w:tcPr>
            <w:tcW w:w="1837" w:type="dxa"/>
            <w:shd w:val="clear" w:color="auto" w:fill="FFFFFF"/>
            <w:noWrap/>
            <w:tcMar>
              <w:top w:w="75" w:type="dxa"/>
              <w:left w:w="75" w:type="dxa"/>
              <w:bottom w:w="75" w:type="dxa"/>
              <w:right w:w="75" w:type="dxa"/>
            </w:tcMar>
            <w:vAlign w:val="center"/>
          </w:tcPr>
          <w:p w14:paraId="09462A5D" w14:textId="77777777" w:rsidR="00770E8E" w:rsidRDefault="00770E8E">
            <w:pPr>
              <w:jc w:val="center"/>
            </w:pPr>
          </w:p>
        </w:tc>
        <w:tc>
          <w:tcPr>
            <w:tcW w:w="2835" w:type="dxa"/>
            <w:shd w:val="clear" w:color="auto" w:fill="FFFFFF"/>
            <w:noWrap/>
            <w:tcMar>
              <w:top w:w="75" w:type="dxa"/>
              <w:left w:w="75" w:type="dxa"/>
              <w:bottom w:w="75" w:type="dxa"/>
              <w:right w:w="75" w:type="dxa"/>
            </w:tcMar>
            <w:vAlign w:val="center"/>
          </w:tcPr>
          <w:p w14:paraId="63D3E21D" w14:textId="00B92DF3" w:rsidR="00770E8E" w:rsidRDefault="00212A42">
            <w:pPr>
              <w:jc w:val="left"/>
            </w:pPr>
            <w:proofErr w:type="spellStart"/>
            <w:r>
              <w:t>Slīmību</w:t>
            </w:r>
            <w:proofErr w:type="spellEnd"/>
            <w:r>
              <w:t xml:space="preserve"> profilakses un kontroles centrs</w:t>
            </w:r>
          </w:p>
        </w:tc>
        <w:tc>
          <w:tcPr>
            <w:tcW w:w="4536" w:type="dxa"/>
            <w:shd w:val="clear" w:color="auto" w:fill="FFFFFF"/>
            <w:noWrap/>
            <w:tcMar>
              <w:top w:w="75" w:type="dxa"/>
              <w:left w:w="75" w:type="dxa"/>
              <w:bottom w:w="75" w:type="dxa"/>
              <w:right w:w="75" w:type="dxa"/>
            </w:tcMar>
            <w:vAlign w:val="center"/>
          </w:tcPr>
          <w:p w14:paraId="4360D822" w14:textId="77777777" w:rsidR="00212A42" w:rsidRPr="00212A42" w:rsidRDefault="00212A42" w:rsidP="00212A42">
            <w:r w:rsidRPr="00212A42">
              <w:t xml:space="preserve">Mūsu ieteikums 2.puntā "2. Veselības ministrijai sadarbībā ar Slimību profilakses un kontroles centru no 2024.gada līdz 2027. gadam (katru gadu līdz 15. jūlijam) iesniegt Valsts kancelejai datus un analītisku </w:t>
            </w:r>
            <w:proofErr w:type="spellStart"/>
            <w:r w:rsidRPr="00212A42">
              <w:t>izvērtējumu</w:t>
            </w:r>
            <w:proofErr w:type="spellEnd"/>
            <w:r w:rsidRPr="00212A42">
              <w:t xml:space="preserve"> par pēdējo piecu gadu tendencēm mirstības no ārējiem nāves cēloņiem rādītājos." norādīto ikgadējā </w:t>
            </w:r>
            <w:proofErr w:type="spellStart"/>
            <w:r w:rsidRPr="00212A42">
              <w:t>izvērtējuma</w:t>
            </w:r>
            <w:proofErr w:type="spellEnd"/>
            <w:r w:rsidRPr="00212A42">
              <w:t xml:space="preserve"> sagatavošanas un iesniegšanas termiņu norādīt vēlāk, </w:t>
            </w:r>
            <w:r w:rsidRPr="00ED0A29">
              <w:rPr>
                <w:u w:val="single"/>
              </w:rPr>
              <w:t>vēlams līdz 15.oktobrim</w:t>
            </w:r>
            <w:r w:rsidRPr="00212A42">
              <w:t xml:space="preserve">, jo līdz 15.jūlijam ir pieejami tikai sākotnējie provizoriskie nāves cēloņu dati, kas vēl būtiski mainās, jo tiek papildināti ar datiem no Valsts tiesu medicīnas ekspertīzes centra sniegtajiem ekspertīžu datiem. Līdz ar to, ja datu apkopojums un </w:t>
            </w:r>
            <w:proofErr w:type="spellStart"/>
            <w:r w:rsidRPr="00212A42">
              <w:t>izvērtējums</w:t>
            </w:r>
            <w:proofErr w:type="spellEnd"/>
            <w:r w:rsidRPr="00212A42">
              <w:t xml:space="preserve"> tiks sagatavots uz 15.jūliju, tad tajā iekļautie rezultāti vēlāk var būtiski mainīties.</w:t>
            </w:r>
          </w:p>
          <w:p w14:paraId="52965271" w14:textId="77777777" w:rsidR="00770E8E" w:rsidRDefault="00770E8E" w:rsidP="00770E8E"/>
        </w:tc>
        <w:tc>
          <w:tcPr>
            <w:tcW w:w="1203" w:type="dxa"/>
            <w:shd w:val="clear" w:color="auto" w:fill="FFFFFF"/>
            <w:noWrap/>
            <w:tcMar>
              <w:top w:w="75" w:type="dxa"/>
              <w:left w:w="75" w:type="dxa"/>
              <w:bottom w:w="75" w:type="dxa"/>
              <w:right w:w="75" w:type="dxa"/>
            </w:tcMar>
            <w:vAlign w:val="center"/>
          </w:tcPr>
          <w:p w14:paraId="6BE5A612" w14:textId="130D5C0E" w:rsidR="00770E8E" w:rsidRDefault="00CC4878">
            <w:pPr>
              <w:jc w:val="left"/>
            </w:pPr>
            <w:r>
              <w:t>Ņemts vērā</w:t>
            </w:r>
          </w:p>
        </w:tc>
        <w:tc>
          <w:tcPr>
            <w:tcW w:w="4156" w:type="dxa"/>
            <w:shd w:val="clear" w:color="auto" w:fill="FFFFFF"/>
            <w:noWrap/>
            <w:tcMar>
              <w:top w:w="75" w:type="dxa"/>
              <w:left w:w="75" w:type="dxa"/>
              <w:bottom w:w="75" w:type="dxa"/>
              <w:right w:w="75" w:type="dxa"/>
            </w:tcMar>
            <w:vAlign w:val="center"/>
          </w:tcPr>
          <w:p w14:paraId="456872F7" w14:textId="77777777" w:rsidR="00855659" w:rsidRDefault="00855659" w:rsidP="00855659">
            <w:pPr>
              <w:numPr>
                <w:ilvl w:val="0"/>
                <w:numId w:val="3"/>
              </w:numPr>
              <w:ind w:firstLine="706"/>
            </w:pPr>
            <w:r>
              <w:t xml:space="preserve">2. Veselības ministrijai sadarbībā ar Slimību profilakses un kontroles centru no 2024.gada līdz 2027. gadam  </w:t>
            </w:r>
            <w:r w:rsidRPr="00855659">
              <w:rPr>
                <w:u w:val="single"/>
              </w:rPr>
              <w:t>(katru gadu līdz 15. oktobrim)</w:t>
            </w:r>
            <w:r>
              <w:t xml:space="preserve"> iesniegt Valsts kancelejai datus un analītisku </w:t>
            </w:r>
            <w:proofErr w:type="spellStart"/>
            <w:r>
              <w:t>izvērtējumu</w:t>
            </w:r>
            <w:proofErr w:type="spellEnd"/>
            <w:r>
              <w:t xml:space="preserve"> par pēdējo piecu gadu tendencēm mirstības no ārējiem nāves cēloņiem rādītājos.</w:t>
            </w:r>
          </w:p>
          <w:p w14:paraId="198DD6BC" w14:textId="77777777" w:rsidR="00365680" w:rsidRDefault="00365680" w:rsidP="00365680">
            <w:pPr>
              <w:numPr>
                <w:ilvl w:val="0"/>
                <w:numId w:val="3"/>
              </w:numPr>
              <w:ind w:firstLine="706"/>
            </w:pPr>
            <w:r>
              <w:t xml:space="preserve">5. Valsts kancelejai no </w:t>
            </w:r>
            <w:r w:rsidRPr="00365680">
              <w:rPr>
                <w:u w:val="single"/>
              </w:rPr>
              <w:t>2025.gada līdz 2027. gadam (katru gadu līdz 15.februārim)</w:t>
            </w:r>
            <w:r>
              <w:t xml:space="preserve"> apkopot informāciju par darba grupu priekšlikumiem un sniegt par to ziņojumu Demogrāfisko lietu padomei.</w:t>
            </w:r>
          </w:p>
          <w:p w14:paraId="6420E564" w14:textId="1A327E49" w:rsidR="00365680" w:rsidRDefault="00365680">
            <w:pPr>
              <w:jc w:val="left"/>
            </w:pPr>
          </w:p>
        </w:tc>
      </w:tr>
      <w:tr w:rsidR="00770E8E" w14:paraId="69DDB667" w14:textId="77777777" w:rsidTr="0081780F">
        <w:tc>
          <w:tcPr>
            <w:tcW w:w="1837" w:type="dxa"/>
            <w:shd w:val="clear" w:color="auto" w:fill="FFFFFF"/>
            <w:noWrap/>
            <w:tcMar>
              <w:top w:w="75" w:type="dxa"/>
              <w:left w:w="75" w:type="dxa"/>
              <w:bottom w:w="75" w:type="dxa"/>
              <w:right w:w="75" w:type="dxa"/>
            </w:tcMar>
            <w:vAlign w:val="center"/>
          </w:tcPr>
          <w:p w14:paraId="7DAFDDD4" w14:textId="77777777" w:rsidR="00770E8E" w:rsidRDefault="00770E8E">
            <w:pPr>
              <w:jc w:val="center"/>
            </w:pPr>
          </w:p>
        </w:tc>
        <w:tc>
          <w:tcPr>
            <w:tcW w:w="2835" w:type="dxa"/>
            <w:shd w:val="clear" w:color="auto" w:fill="FFFFFF"/>
            <w:noWrap/>
            <w:tcMar>
              <w:top w:w="75" w:type="dxa"/>
              <w:left w:w="75" w:type="dxa"/>
              <w:bottom w:w="75" w:type="dxa"/>
              <w:right w:w="75" w:type="dxa"/>
            </w:tcMar>
            <w:vAlign w:val="center"/>
          </w:tcPr>
          <w:p w14:paraId="5EDE0DC4" w14:textId="77777777" w:rsidR="00770E8E" w:rsidRDefault="00770E8E">
            <w:pPr>
              <w:jc w:val="left"/>
            </w:pPr>
          </w:p>
        </w:tc>
        <w:tc>
          <w:tcPr>
            <w:tcW w:w="4536" w:type="dxa"/>
            <w:shd w:val="clear" w:color="auto" w:fill="FFFFFF"/>
            <w:noWrap/>
            <w:tcMar>
              <w:top w:w="75" w:type="dxa"/>
              <w:left w:w="75" w:type="dxa"/>
              <w:bottom w:w="75" w:type="dxa"/>
              <w:right w:w="75" w:type="dxa"/>
            </w:tcMar>
            <w:vAlign w:val="center"/>
          </w:tcPr>
          <w:p w14:paraId="223A0CC9" w14:textId="77777777" w:rsidR="00212A42" w:rsidRPr="00212A42" w:rsidRDefault="00212A42" w:rsidP="00212A42">
            <w:r w:rsidRPr="00212A42">
              <w:t xml:space="preserve">Attiecībā "3.2. Veselības ministrijai sadarbībā ar Valsts kanceleju izveidot Alkohola un citu atkarību izraisošu vielu un procesu mazināšanas darba </w:t>
            </w:r>
            <w:r w:rsidRPr="00212A42">
              <w:lastRenderedPageBreak/>
              <w:t>grupu" lūdzam izvērtēt šādas darba grupas izveides lietderību, ja pie Veselības ministrijas ir izveidota Nacionālā alkoholisma ierobežošanas padome un  Narkotiku kontroles un narkomānijas ierobežošanas koordinācijas padome, kurās darbojas  dažādu iesaistīto institūciju, ministriju un citu organizāciju pārstāvji. Bez tam šajā jomā ir aktīvi politikas plānošanas dokumenti. </w:t>
            </w:r>
          </w:p>
          <w:p w14:paraId="07C30CDF" w14:textId="77777777" w:rsidR="00770E8E" w:rsidRDefault="00770E8E" w:rsidP="00770E8E"/>
        </w:tc>
        <w:tc>
          <w:tcPr>
            <w:tcW w:w="1203" w:type="dxa"/>
            <w:shd w:val="clear" w:color="auto" w:fill="FFFFFF"/>
            <w:noWrap/>
            <w:tcMar>
              <w:top w:w="75" w:type="dxa"/>
              <w:left w:w="75" w:type="dxa"/>
              <w:bottom w:w="75" w:type="dxa"/>
              <w:right w:w="75" w:type="dxa"/>
            </w:tcMar>
            <w:vAlign w:val="center"/>
          </w:tcPr>
          <w:p w14:paraId="60D1735E" w14:textId="62B0AC5B" w:rsidR="00770E8E" w:rsidRDefault="00F1251E">
            <w:pPr>
              <w:jc w:val="left"/>
            </w:pPr>
            <w:r>
              <w:lastRenderedPageBreak/>
              <w:t>Daļēji ņemts vērā</w:t>
            </w:r>
          </w:p>
        </w:tc>
        <w:tc>
          <w:tcPr>
            <w:tcW w:w="4156" w:type="dxa"/>
            <w:shd w:val="clear" w:color="auto" w:fill="FFFFFF"/>
            <w:noWrap/>
            <w:tcMar>
              <w:top w:w="75" w:type="dxa"/>
              <w:left w:w="75" w:type="dxa"/>
              <w:bottom w:w="75" w:type="dxa"/>
              <w:right w:w="75" w:type="dxa"/>
            </w:tcMar>
            <w:vAlign w:val="center"/>
          </w:tcPr>
          <w:p w14:paraId="3DFDBAE4" w14:textId="77777777" w:rsidR="00770E8E" w:rsidRDefault="00F1251E">
            <w:pPr>
              <w:jc w:val="left"/>
            </w:pPr>
            <w:r>
              <w:t xml:space="preserve">Precizējām “Veselības ministrijai sadarbībā ar Valsts kanceleju izveidot Alkohola un citu atkarību izraisošu vielu un procesu ietekmi </w:t>
            </w:r>
            <w:r w:rsidRPr="00F1251E">
              <w:rPr>
                <w:u w:val="single"/>
              </w:rPr>
              <w:lastRenderedPageBreak/>
              <w:t>uz ĀNC</w:t>
            </w:r>
            <w:r>
              <w:t xml:space="preserve"> mazināšanas darba grupu.”</w:t>
            </w:r>
          </w:p>
          <w:p w14:paraId="37C6CD8A" w14:textId="77777777" w:rsidR="00F1251E" w:rsidRDefault="00F1251E">
            <w:pPr>
              <w:jc w:val="left"/>
            </w:pPr>
          </w:p>
          <w:p w14:paraId="5E43CB5E" w14:textId="2C6AF431" w:rsidR="00F1251E" w:rsidRDefault="00F1251E" w:rsidP="00B96A31">
            <w:pPr>
              <w:jc w:val="left"/>
            </w:pPr>
            <w:r>
              <w:t>Pamatojums</w:t>
            </w:r>
            <w:r w:rsidR="003838A2">
              <w:t xml:space="preserve"> – </w:t>
            </w:r>
            <w:r w:rsidR="00B96A31">
              <w:t>Alkohola lietošana ir galvenais riska faktors mirstībai ārēju nāves cēloņu dēļ visās vecuma grupās, un bez koncentrētas uzmanības šim faktoram, nevarēs sasniegt NAP2027 mērķi – mazināt mirstību no ĀNC.   Sadarbībā ar VM tiks nodrošināta koncentrēta uzmanība ĀNC dimensijai.</w:t>
            </w:r>
          </w:p>
        </w:tc>
      </w:tr>
    </w:tbl>
    <w:p w14:paraId="2F097017" w14:textId="77777777" w:rsidR="00BF3C8D" w:rsidRDefault="00BF3C8D"/>
    <w:sectPr w:rsidR="00BF3C8D">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A4118" w14:textId="77777777" w:rsidR="00B77828" w:rsidRDefault="00B77828">
      <w:r>
        <w:separator/>
      </w:r>
    </w:p>
  </w:endnote>
  <w:endnote w:type="continuationSeparator" w:id="0">
    <w:p w14:paraId="73E0D911" w14:textId="77777777" w:rsidR="00B77828" w:rsidRDefault="00B7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75ADA" w14:textId="77777777" w:rsidR="002100AC" w:rsidRDefault="00000000">
    <w:pPr>
      <w:jc w:val="right"/>
    </w:pPr>
    <w:r>
      <w:rPr>
        <w:sz w:val="24"/>
        <w:szCs w:val="24"/>
      </w:rPr>
      <w:fldChar w:fldCharType="begin"/>
    </w:r>
    <w:r>
      <w:rPr>
        <w:sz w:val="24"/>
        <w:szCs w:val="24"/>
      </w:rPr>
      <w:instrText>PAGE</w:instrText>
    </w:r>
    <w:r>
      <w:rPr>
        <w:sz w:val="24"/>
        <w:szCs w:val="24"/>
      </w:rPr>
      <w:fldChar w:fldCharType="separate"/>
    </w:r>
    <w:r w:rsidR="00E6411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43D93" w14:textId="77777777" w:rsidR="00246F21"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97E4C" w14:textId="77777777" w:rsidR="00B77828" w:rsidRDefault="00B77828">
      <w:r>
        <w:separator/>
      </w:r>
    </w:p>
  </w:footnote>
  <w:footnote w:type="continuationSeparator" w:id="0">
    <w:p w14:paraId="20595B96" w14:textId="77777777" w:rsidR="00B77828" w:rsidRDefault="00B77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0D15" w14:textId="77777777" w:rsidR="002100AC" w:rsidRDefault="00000000">
    <w:pPr>
      <w:pStyle w:val="Header"/>
      <w:contextualSpacing w:val="0"/>
    </w:pPr>
    <w:r>
      <w:t>Viedokļu pārskats 24-TA-1192</w:t>
    </w:r>
    <w:r>
      <w:br/>
      <w:t>Izdrukāts 18.06.2024. 10.19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F74A2" w14:textId="77777777" w:rsidR="002100AC" w:rsidRDefault="00000000">
    <w:pPr>
      <w:pStyle w:val="Header"/>
      <w:contextualSpacing w:val="0"/>
    </w:pPr>
    <w:r>
      <w:t>Viedokļu pārskats 24-TA-1192</w:t>
    </w:r>
    <w:r>
      <w:br/>
      <w:t>Izdrukāts 18.06.2024. 10.19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578BA"/>
    <w:multiLevelType w:val="hybridMultilevel"/>
    <w:tmpl w:val="0D34D3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6102137"/>
    <w:multiLevelType w:val="hybridMultilevel"/>
    <w:tmpl w:val="F4420D6A"/>
    <w:lvl w:ilvl="0" w:tplc="DD861910">
      <w:start w:val="1"/>
      <w:numFmt w:val="bullet"/>
      <w:lvlRestart w:val="0"/>
      <w:lvlText w:val=""/>
      <w:lvlJc w:val="left"/>
      <w:pPr>
        <w:ind w:left="0" w:firstLine="705"/>
      </w:pPr>
      <w:rPr>
        <w:u w:val="none"/>
      </w:rPr>
    </w:lvl>
    <w:lvl w:ilvl="1" w:tplc="D51AC4FA">
      <w:start w:val="1"/>
      <w:numFmt w:val="bullet"/>
      <w:lvlRestart w:val="0"/>
      <w:lvlText w:val=""/>
      <w:lvlJc w:val="left"/>
      <w:pPr>
        <w:ind w:left="0" w:firstLine="705"/>
      </w:pPr>
      <w:rPr>
        <w:u w:val="none"/>
      </w:rPr>
    </w:lvl>
    <w:lvl w:ilvl="2" w:tplc="61464898">
      <w:numFmt w:val="decimal"/>
      <w:lvlText w:val=""/>
      <w:lvlJc w:val="left"/>
    </w:lvl>
    <w:lvl w:ilvl="3" w:tplc="4C0AAD9A">
      <w:numFmt w:val="decimal"/>
      <w:lvlText w:val=""/>
      <w:lvlJc w:val="left"/>
    </w:lvl>
    <w:lvl w:ilvl="4" w:tplc="9726F48C">
      <w:numFmt w:val="decimal"/>
      <w:lvlText w:val=""/>
      <w:lvlJc w:val="left"/>
    </w:lvl>
    <w:lvl w:ilvl="5" w:tplc="334C6518">
      <w:numFmt w:val="decimal"/>
      <w:lvlText w:val=""/>
      <w:lvlJc w:val="left"/>
    </w:lvl>
    <w:lvl w:ilvl="6" w:tplc="DA72C568">
      <w:numFmt w:val="decimal"/>
      <w:lvlText w:val=""/>
      <w:lvlJc w:val="left"/>
    </w:lvl>
    <w:lvl w:ilvl="7" w:tplc="AF583E0E">
      <w:numFmt w:val="decimal"/>
      <w:lvlText w:val=""/>
      <w:lvlJc w:val="left"/>
    </w:lvl>
    <w:lvl w:ilvl="8" w:tplc="F634BB8A">
      <w:numFmt w:val="decimal"/>
      <w:lvlText w:val=""/>
      <w:lvlJc w:val="left"/>
    </w:lvl>
  </w:abstractNum>
  <w:abstractNum w:abstractNumId="2" w15:restartNumberingAfterBreak="0">
    <w:nsid w:val="6FFE3AD7"/>
    <w:multiLevelType w:val="hybridMultilevel"/>
    <w:tmpl w:val="0D34D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0302834">
    <w:abstractNumId w:val="2"/>
  </w:num>
  <w:num w:numId="2" w16cid:durableId="1423600520">
    <w:abstractNumId w:val="0"/>
  </w:num>
  <w:num w:numId="3" w16cid:durableId="538126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AC"/>
    <w:rsid w:val="0005019A"/>
    <w:rsid w:val="00055C01"/>
    <w:rsid w:val="00087661"/>
    <w:rsid w:val="00110E51"/>
    <w:rsid w:val="00121814"/>
    <w:rsid w:val="00144755"/>
    <w:rsid w:val="002100AC"/>
    <w:rsid w:val="00212A42"/>
    <w:rsid w:val="00246F21"/>
    <w:rsid w:val="002E1F1E"/>
    <w:rsid w:val="002F2800"/>
    <w:rsid w:val="0033569A"/>
    <w:rsid w:val="00343171"/>
    <w:rsid w:val="00365680"/>
    <w:rsid w:val="003778A8"/>
    <w:rsid w:val="003838A2"/>
    <w:rsid w:val="004208D9"/>
    <w:rsid w:val="00421415"/>
    <w:rsid w:val="00446579"/>
    <w:rsid w:val="004B49EE"/>
    <w:rsid w:val="004F16F1"/>
    <w:rsid w:val="00642987"/>
    <w:rsid w:val="00680A3C"/>
    <w:rsid w:val="00705FD3"/>
    <w:rsid w:val="00706B66"/>
    <w:rsid w:val="00770E8E"/>
    <w:rsid w:val="0081780F"/>
    <w:rsid w:val="00855659"/>
    <w:rsid w:val="00881965"/>
    <w:rsid w:val="008A7172"/>
    <w:rsid w:val="00980DDB"/>
    <w:rsid w:val="00AA5FC7"/>
    <w:rsid w:val="00AC33FF"/>
    <w:rsid w:val="00AF3EC9"/>
    <w:rsid w:val="00B0308B"/>
    <w:rsid w:val="00B14EB4"/>
    <w:rsid w:val="00B26125"/>
    <w:rsid w:val="00B53FE1"/>
    <w:rsid w:val="00B5602D"/>
    <w:rsid w:val="00B77828"/>
    <w:rsid w:val="00B96A31"/>
    <w:rsid w:val="00BF3C8D"/>
    <w:rsid w:val="00CC4878"/>
    <w:rsid w:val="00DD261B"/>
    <w:rsid w:val="00E55FDB"/>
    <w:rsid w:val="00E64118"/>
    <w:rsid w:val="00EB1D24"/>
    <w:rsid w:val="00ED0A29"/>
    <w:rsid w:val="00EF1EA4"/>
    <w:rsid w:val="00F1251E"/>
    <w:rsid w:val="00F548E1"/>
    <w:rsid w:val="00FF02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802E"/>
  <w15:docId w15:val="{F109B103-6FAA-438E-8981-A2D9BC76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1">
    <w:name w:val="1"/>
    <w:basedOn w:val="TableNormal"/>
    <w:tblPr>
      <w:tblStyleRowBandSize w:val="1"/>
      <w:tblStyleColBandSize w:val="1"/>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055C01"/>
    <w:pPr>
      <w:spacing w:after="80"/>
      <w:ind w:left="720"/>
      <w:contextualSpacing/>
    </w:pPr>
    <w:rPr>
      <w:rFonts w:asciiTheme="minorHAnsi" w:eastAsiaTheme="minorEastAsia" w:hAnsiTheme="minorHAnsi" w:cstheme="minorBidi"/>
      <w:color w:val="auto"/>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055C01"/>
    <w:rPr>
      <w:rFonts w:asciiTheme="minorHAnsi" w:eastAsiaTheme="minorEastAsia" w:hAnsiTheme="minorHAnsi" w:cstheme="minorBidi"/>
      <w:color w:val="auto"/>
      <w:sz w:val="22"/>
      <w:szCs w:val="22"/>
      <w:lang w:eastAsia="en-US"/>
    </w:rPr>
  </w:style>
  <w:style w:type="character" w:styleId="Hyperlink">
    <w:name w:val="Hyperlink"/>
    <w:basedOn w:val="DefaultParagraphFont"/>
    <w:uiPriority w:val="99"/>
    <w:unhideWhenUsed/>
    <w:rsid w:val="00AC33FF"/>
    <w:rPr>
      <w:color w:val="0563C1" w:themeColor="hyperlink"/>
      <w:u w:val="single"/>
    </w:rPr>
  </w:style>
  <w:style w:type="paragraph" w:styleId="NoSpacing">
    <w:name w:val="No Spacing"/>
    <w:link w:val="NoSpacingChar"/>
    <w:uiPriority w:val="1"/>
    <w:qFormat/>
    <w:rsid w:val="00B5602D"/>
    <w:rPr>
      <w:rFonts w:asciiTheme="minorHAnsi" w:eastAsiaTheme="minorEastAsia" w:hAnsiTheme="minorHAnsi" w:cstheme="minorBidi"/>
      <w:color w:val="auto"/>
      <w:sz w:val="22"/>
      <w:szCs w:val="22"/>
      <w:lang w:eastAsia="en-US"/>
    </w:rPr>
  </w:style>
  <w:style w:type="character" w:customStyle="1" w:styleId="NoSpacingChar">
    <w:name w:val="No Spacing Char"/>
    <w:basedOn w:val="DefaultParagraphFont"/>
    <w:link w:val="NoSpacing"/>
    <w:uiPriority w:val="1"/>
    <w:rsid w:val="00B5602D"/>
    <w:rPr>
      <w:rFonts w:asciiTheme="minorHAnsi" w:eastAsiaTheme="minorEastAsia"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10</Pages>
  <Words>7631</Words>
  <Characters>4350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viedoklu_parskats_24-TA-1192.docx</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viedoklu_parskats_24-TA-1192.docx</dc:title>
  <dc:subject/>
  <dc:creator>Māra Sīmane</dc:creator>
  <cp:keywords/>
  <dc:description/>
  <cp:lastModifiedBy>Māra Sīmane</cp:lastModifiedBy>
  <cp:revision>12</cp:revision>
  <dcterms:created xsi:type="dcterms:W3CDTF">2024-06-18T07:25:00Z</dcterms:created>
  <dcterms:modified xsi:type="dcterms:W3CDTF">2024-06-21T07:10:00Z</dcterms:modified>
</cp:coreProperties>
</file>